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EB" w:rsidRDefault="007800EB">
      <w:pPr>
        <w:rPr>
          <w:rFonts w:ascii="黑体" w:eastAsia="黑体" w:hAnsi="黑体" w:cs="黑体"/>
          <w:sz w:val="32"/>
          <w:szCs w:val="32"/>
        </w:rPr>
      </w:pPr>
    </w:p>
    <w:p w:rsidR="007800EB" w:rsidRDefault="007800EB">
      <w:pPr>
        <w:pStyle w:val="a0"/>
      </w:pPr>
    </w:p>
    <w:p w:rsidR="007800EB" w:rsidRDefault="007800EB">
      <w:pPr>
        <w:pStyle w:val="a0"/>
        <w:ind w:firstLine="640"/>
        <w:rPr>
          <w:rFonts w:ascii="黑体" w:eastAsia="黑体" w:hAnsi="黑体" w:cs="黑体"/>
          <w:sz w:val="32"/>
          <w:szCs w:val="32"/>
        </w:rPr>
      </w:pPr>
    </w:p>
    <w:p w:rsidR="007800EB" w:rsidRDefault="007800EB">
      <w:pPr>
        <w:pStyle w:val="a0"/>
        <w:ind w:firstLine="640"/>
        <w:rPr>
          <w:rFonts w:ascii="黑体" w:eastAsia="黑体" w:hAnsi="黑体" w:cs="黑体"/>
          <w:sz w:val="32"/>
          <w:szCs w:val="32"/>
        </w:rPr>
      </w:pPr>
    </w:p>
    <w:p w:rsidR="007800EB" w:rsidRDefault="007800EB">
      <w:pPr>
        <w:pStyle w:val="a0"/>
        <w:ind w:firstLine="640"/>
        <w:rPr>
          <w:rFonts w:ascii="黑体" w:eastAsia="黑体" w:hAnsi="黑体" w:cs="黑体"/>
          <w:sz w:val="32"/>
          <w:szCs w:val="32"/>
        </w:rPr>
      </w:pPr>
    </w:p>
    <w:p w:rsidR="007800EB" w:rsidRDefault="007800EB">
      <w:pPr>
        <w:pStyle w:val="a0"/>
        <w:ind w:firstLine="640"/>
        <w:rPr>
          <w:rFonts w:ascii="黑体" w:eastAsia="黑体" w:hAnsi="黑体" w:cs="黑体"/>
          <w:sz w:val="32"/>
          <w:szCs w:val="32"/>
        </w:rPr>
      </w:pPr>
    </w:p>
    <w:p w:rsidR="007800EB" w:rsidRDefault="00D67590">
      <w:pPr>
        <w:snapToGrid w:val="0"/>
        <w:jc w:val="center"/>
        <w:rPr>
          <w:rFonts w:ascii="方正小标宋简体" w:eastAsia="方正小标宋简体" w:hAnsi="方正小标宋简体" w:cs="方正小标宋简体"/>
          <w:sz w:val="48"/>
          <w:szCs w:val="48"/>
        </w:rPr>
      </w:pPr>
      <w:bookmarkStart w:id="0" w:name="_Toc20620"/>
      <w:bookmarkStart w:id="1" w:name="_Toc861"/>
      <w:r>
        <w:rPr>
          <w:rFonts w:ascii="方正小标宋简体" w:eastAsia="方正小标宋简体" w:hAnsi="方正小标宋简体" w:cs="方正小标宋简体" w:hint="eastAsia"/>
          <w:sz w:val="48"/>
          <w:szCs w:val="48"/>
        </w:rPr>
        <w:t>水利安全生产风险管控“六项机制”</w:t>
      </w:r>
      <w:bookmarkStart w:id="2" w:name="_Toc505"/>
      <w:bookmarkStart w:id="3" w:name="_Toc27728"/>
      <w:bookmarkEnd w:id="0"/>
      <w:bookmarkEnd w:id="1"/>
    </w:p>
    <w:p w:rsidR="007800EB" w:rsidRDefault="00D67590">
      <w:pPr>
        <w:snapToGrid w:val="0"/>
        <w:jc w:val="center"/>
        <w:rPr>
          <w:rFonts w:ascii="方正小标宋简体" w:eastAsia="方正小标宋简体" w:hAnsi="方正小标宋简体" w:cs="方正小标宋简体"/>
          <w:sz w:val="48"/>
          <w:szCs w:val="48"/>
        </w:rPr>
      </w:pPr>
      <w:r>
        <w:rPr>
          <w:rFonts w:ascii="方正小标宋简体" w:eastAsia="方正小标宋简体" w:hAnsi="方正小标宋简体" w:cs="方正小标宋简体" w:hint="eastAsia"/>
          <w:sz w:val="48"/>
          <w:szCs w:val="48"/>
        </w:rPr>
        <w:t>实施工作指南</w:t>
      </w:r>
      <w:bookmarkStart w:id="4" w:name="_Toc7774"/>
      <w:bookmarkStart w:id="5" w:name="_Toc431"/>
      <w:bookmarkEnd w:id="2"/>
      <w:bookmarkEnd w:id="3"/>
      <w:r>
        <w:rPr>
          <w:rFonts w:ascii="方正小标宋简体" w:eastAsia="方正小标宋简体" w:hAnsi="方正小标宋简体" w:cs="方正小标宋简体" w:hint="eastAsia"/>
          <w:sz w:val="48"/>
          <w:szCs w:val="48"/>
        </w:rPr>
        <w:t>（2024年版）</w:t>
      </w:r>
    </w:p>
    <w:bookmarkEnd w:id="4"/>
    <w:bookmarkEnd w:id="5"/>
    <w:p w:rsidR="007800EB" w:rsidRDefault="007800EB">
      <w:pPr>
        <w:pStyle w:val="a0"/>
        <w:ind w:firstLineChars="0" w:firstLine="0"/>
        <w:jc w:val="center"/>
        <w:rPr>
          <w:rFonts w:ascii="楷体" w:eastAsia="楷体" w:hAnsi="楷体" w:cs="楷体"/>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方正楷体_GBK" w:eastAsia="方正楷体_GBK" w:hAnsi="方正楷体_GBK" w:cs="方正楷体_GBK"/>
          <w:b/>
          <w:bCs/>
          <w:sz w:val="32"/>
          <w:szCs w:val="32"/>
        </w:rPr>
      </w:pPr>
    </w:p>
    <w:p w:rsidR="007800EB" w:rsidRDefault="007800EB">
      <w:pPr>
        <w:pStyle w:val="a0"/>
        <w:ind w:firstLineChars="0" w:firstLine="0"/>
        <w:jc w:val="center"/>
        <w:rPr>
          <w:rFonts w:ascii="楷体_GB2312" w:eastAsia="楷体_GB2312" w:hAnsi="楷体_GB2312" w:cs="楷体_GB2312"/>
          <w:sz w:val="36"/>
          <w:szCs w:val="36"/>
        </w:rPr>
      </w:pPr>
    </w:p>
    <w:p w:rsidR="007800EB" w:rsidRDefault="007800EB">
      <w:pPr>
        <w:pStyle w:val="a0"/>
        <w:ind w:firstLineChars="0" w:firstLine="0"/>
        <w:jc w:val="center"/>
        <w:rPr>
          <w:rFonts w:ascii="楷体_GB2312" w:eastAsia="楷体_GB2312" w:hAnsi="楷体_GB2312" w:cs="楷体_GB2312"/>
          <w:sz w:val="36"/>
          <w:szCs w:val="36"/>
        </w:rPr>
      </w:pPr>
    </w:p>
    <w:p w:rsidR="007800EB" w:rsidRDefault="007800EB">
      <w:pPr>
        <w:spacing w:line="600" w:lineRule="exact"/>
        <w:jc w:val="center"/>
        <w:rPr>
          <w:rFonts w:ascii="方正小标宋简体" w:eastAsia="方正小标宋简体" w:hAnsi="方正小标宋简体" w:cs="方正小标宋简体"/>
          <w:bCs/>
          <w:sz w:val="36"/>
          <w:szCs w:val="36"/>
        </w:rPr>
      </w:pPr>
      <w:bookmarkStart w:id="6" w:name="_Toc742159469_WPSOffice_Type2"/>
    </w:p>
    <w:p w:rsidR="007800EB" w:rsidRDefault="007800EB">
      <w:pPr>
        <w:pStyle w:val="a0"/>
      </w:pPr>
    </w:p>
    <w:p w:rsidR="007800EB" w:rsidRDefault="007800EB">
      <w:pPr>
        <w:jc w:val="center"/>
        <w:rPr>
          <w:rFonts w:ascii="楷体" w:eastAsia="楷体" w:hAnsi="楷体" w:cs="楷体"/>
          <w:sz w:val="32"/>
          <w:szCs w:val="32"/>
        </w:rPr>
      </w:pPr>
    </w:p>
    <w:p w:rsidR="007800EB" w:rsidRDefault="00D67590">
      <w:pPr>
        <w:jc w:val="center"/>
        <w:rPr>
          <w:rFonts w:ascii="楷体" w:eastAsia="楷体" w:hAnsi="楷体" w:cs="楷体"/>
          <w:sz w:val="32"/>
          <w:szCs w:val="32"/>
        </w:rPr>
      </w:pPr>
      <w:r>
        <w:rPr>
          <w:rFonts w:ascii="楷体" w:eastAsia="楷体" w:hAnsi="楷体" w:cs="楷体" w:hint="eastAsia"/>
          <w:sz w:val="32"/>
          <w:szCs w:val="32"/>
        </w:rPr>
        <w:t>二〇二四年</w:t>
      </w:r>
    </w:p>
    <w:p w:rsidR="007800EB" w:rsidRDefault="007800EB">
      <w:pPr>
        <w:pStyle w:val="a0"/>
      </w:pPr>
    </w:p>
    <w:p w:rsidR="007800EB" w:rsidRDefault="007800EB">
      <w:pPr>
        <w:spacing w:line="600" w:lineRule="exact"/>
        <w:jc w:val="center"/>
        <w:rPr>
          <w:rFonts w:ascii="方正小标宋简体" w:eastAsia="方正小标宋简体" w:hAnsi="方正小标宋简体" w:cs="方正小标宋简体"/>
          <w:bCs/>
          <w:sz w:val="36"/>
          <w:szCs w:val="36"/>
        </w:rPr>
        <w:sectPr w:rsidR="007800EB">
          <w:pgSz w:w="11906" w:h="16838"/>
          <w:pgMar w:top="1440" w:right="1803" w:bottom="1440" w:left="1803" w:header="851" w:footer="992" w:gutter="0"/>
          <w:cols w:space="720"/>
          <w:docGrid w:type="lines" w:linePitch="312"/>
        </w:sectPr>
      </w:pPr>
    </w:p>
    <w:bookmarkEnd w:id="6"/>
    <w:p w:rsidR="007800EB" w:rsidRDefault="00D67590">
      <w:pPr>
        <w:overflowPunct w:val="0"/>
        <w:spacing w:line="600" w:lineRule="exact"/>
        <w:jc w:val="center"/>
        <w:rPr>
          <w:rFonts w:ascii="黑体" w:eastAsia="黑体" w:hAnsi="黑体" w:cs="黑体"/>
          <w:b/>
          <w:bCs/>
          <w:sz w:val="32"/>
          <w:szCs w:val="32"/>
        </w:rPr>
      </w:pPr>
      <w:r>
        <w:rPr>
          <w:rFonts w:ascii="黑体" w:eastAsia="黑体" w:hAnsi="黑体" w:cs="黑体" w:hint="eastAsia"/>
          <w:sz w:val="32"/>
          <w:szCs w:val="32"/>
        </w:rPr>
        <w:lastRenderedPageBreak/>
        <w:t>目  录</w:t>
      </w:r>
    </w:p>
    <w:p w:rsidR="007800EB" w:rsidRDefault="00D67590">
      <w:pPr>
        <w:pStyle w:val="10"/>
        <w:tabs>
          <w:tab w:val="right" w:leader="dot" w:pos="8300"/>
        </w:tabs>
        <w:rPr>
          <w:rFonts w:ascii="楷体" w:eastAsia="楷体" w:hAnsi="楷体" w:cs="楷体"/>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TOC \o "1-3" \h \u </w:instrText>
      </w:r>
      <w:r>
        <w:rPr>
          <w:rFonts w:ascii="仿宋" w:eastAsia="仿宋" w:hAnsi="仿宋" w:cs="仿宋" w:hint="eastAsia"/>
          <w:sz w:val="32"/>
          <w:szCs w:val="32"/>
        </w:rPr>
        <w:fldChar w:fldCharType="separate"/>
      </w:r>
      <w:hyperlink w:anchor="_Toc20360" w:history="1">
        <w:r>
          <w:rPr>
            <w:rFonts w:ascii="楷体" w:eastAsia="楷体" w:hAnsi="楷体" w:cs="楷体" w:hint="eastAsia"/>
            <w:sz w:val="32"/>
            <w:szCs w:val="32"/>
          </w:rPr>
          <w:t>第一章 总则</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_Toc20360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Pr>
            <w:rFonts w:ascii="楷体" w:eastAsia="楷体" w:hAnsi="楷体" w:cs="楷体" w:hint="eastAsia"/>
            <w:sz w:val="32"/>
            <w:szCs w:val="32"/>
          </w:rPr>
          <w:t>1</w:t>
        </w:r>
        <w:r>
          <w:rPr>
            <w:rFonts w:ascii="楷体" w:eastAsia="楷体" w:hAnsi="楷体" w:cs="楷体"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4555" w:history="1">
        <w:r w:rsidR="00D67590">
          <w:rPr>
            <w:rFonts w:ascii="仿宋" w:eastAsia="仿宋" w:hAnsi="仿宋" w:cs="仿宋" w:hint="eastAsia"/>
            <w:sz w:val="32"/>
            <w:szCs w:val="32"/>
          </w:rPr>
          <w:t>1 适用范围</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_Toc14555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9231" w:history="1">
        <w:r w:rsidR="00D67590">
          <w:rPr>
            <w:rFonts w:ascii="仿宋" w:eastAsia="仿宋" w:hAnsi="仿宋" w:cs="仿宋" w:hint="eastAsia"/>
            <w:sz w:val="32"/>
            <w:szCs w:val="32"/>
            <w:lang w:val="en"/>
          </w:rPr>
          <w:t>2</w:t>
        </w:r>
        <w:r w:rsidR="00D67590">
          <w:rPr>
            <w:rFonts w:ascii="仿宋" w:eastAsia="仿宋" w:hAnsi="仿宋" w:cs="仿宋" w:hint="eastAsia"/>
            <w:sz w:val="32"/>
            <w:szCs w:val="32"/>
          </w:rPr>
          <w:t xml:space="preserve"> 责任主体</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_Toc29231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0316" w:history="1">
        <w:r w:rsidR="00D67590">
          <w:rPr>
            <w:rFonts w:ascii="仿宋" w:eastAsia="仿宋" w:hAnsi="仿宋" w:cs="仿宋" w:hint="eastAsia"/>
            <w:bCs/>
            <w:sz w:val="32"/>
            <w:szCs w:val="32"/>
          </w:rPr>
          <w:t>2.1 水利生产经营单位</w:t>
        </w:r>
        <w:r w:rsidR="00D67590">
          <w:rPr>
            <w:rFonts w:ascii="仿宋" w:eastAsia="仿宋" w:hAnsi="仿宋" w:cs="仿宋" w:hint="eastAsia"/>
            <w:sz w:val="32"/>
            <w:szCs w:val="32"/>
          </w:rPr>
          <w:tab/>
          <w:t>1</w:t>
        </w:r>
      </w:hyperlink>
    </w:p>
    <w:p w:rsidR="007800EB" w:rsidRDefault="007A2333">
      <w:pPr>
        <w:pStyle w:val="30"/>
        <w:tabs>
          <w:tab w:val="right" w:leader="dot" w:pos="8300"/>
        </w:tabs>
        <w:rPr>
          <w:rFonts w:ascii="仿宋" w:eastAsia="仿宋" w:hAnsi="仿宋" w:cs="仿宋"/>
          <w:sz w:val="32"/>
          <w:szCs w:val="32"/>
        </w:rPr>
      </w:pPr>
      <w:hyperlink w:anchor="_Toc10316" w:history="1">
        <w:r w:rsidR="00D67590">
          <w:rPr>
            <w:rFonts w:ascii="仿宋" w:eastAsia="仿宋" w:hAnsi="仿宋" w:cs="仿宋" w:hint="eastAsia"/>
            <w:bCs/>
            <w:sz w:val="32"/>
            <w:szCs w:val="32"/>
          </w:rPr>
          <w:t>2.2 水行政主管部门</w:t>
        </w:r>
        <w:r w:rsidR="00D67590">
          <w:rPr>
            <w:rFonts w:ascii="仿宋" w:eastAsia="仿宋" w:hAnsi="仿宋" w:cs="仿宋" w:hint="eastAsia"/>
            <w:sz w:val="32"/>
            <w:szCs w:val="32"/>
          </w:rPr>
          <w:tab/>
          <w:t>1</w:t>
        </w:r>
      </w:hyperlink>
    </w:p>
    <w:p w:rsidR="007800EB" w:rsidRDefault="007A2333">
      <w:pPr>
        <w:pStyle w:val="10"/>
        <w:tabs>
          <w:tab w:val="right" w:leader="dot" w:pos="8300"/>
        </w:tabs>
        <w:rPr>
          <w:rFonts w:ascii="楷体" w:eastAsia="楷体" w:hAnsi="楷体" w:cs="楷体"/>
          <w:sz w:val="32"/>
          <w:szCs w:val="32"/>
        </w:rPr>
      </w:pPr>
      <w:hyperlink w:anchor="_Toc16441" w:history="1">
        <w:r w:rsidR="00D67590">
          <w:rPr>
            <w:rFonts w:ascii="楷体" w:eastAsia="楷体" w:hAnsi="楷体" w:cs="楷体" w:hint="eastAsia"/>
            <w:sz w:val="32"/>
            <w:szCs w:val="32"/>
          </w:rPr>
          <w:t>第二章 水利工程建设项目“六项机制”工作要求</w:t>
        </w:r>
        <w:r w:rsidR="00D67590">
          <w:rPr>
            <w:rFonts w:ascii="楷体" w:eastAsia="楷体" w:hAnsi="楷体" w:cs="楷体" w:hint="eastAsia"/>
            <w:sz w:val="32"/>
            <w:szCs w:val="32"/>
          </w:rPr>
          <w:tab/>
        </w:r>
      </w:hyperlink>
      <w:r w:rsidR="00D67590">
        <w:rPr>
          <w:rFonts w:ascii="楷体" w:eastAsia="楷体" w:hAnsi="楷体" w:cs="楷体" w:hint="eastAsia"/>
          <w:sz w:val="32"/>
          <w:szCs w:val="32"/>
        </w:rPr>
        <w:t>5</w:t>
      </w:r>
    </w:p>
    <w:p w:rsidR="007800EB" w:rsidRDefault="007A2333">
      <w:pPr>
        <w:pStyle w:val="20"/>
        <w:tabs>
          <w:tab w:val="right" w:leader="dot" w:pos="8300"/>
        </w:tabs>
        <w:rPr>
          <w:rFonts w:ascii="仿宋" w:eastAsia="仿宋" w:hAnsi="仿宋" w:cs="仿宋"/>
          <w:sz w:val="32"/>
          <w:szCs w:val="32"/>
        </w:rPr>
      </w:pPr>
      <w:hyperlink w:anchor="_Toc6711" w:history="1">
        <w:r w:rsidR="00D67590">
          <w:rPr>
            <w:rFonts w:ascii="仿宋" w:eastAsia="仿宋" w:hAnsi="仿宋" w:cs="仿宋" w:hint="eastAsia"/>
            <w:sz w:val="32"/>
            <w:szCs w:val="32"/>
            <w:lang w:val="en"/>
          </w:rPr>
          <w:t>1 查找机制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_Toc6711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6969" w:history="1">
        <w:r w:rsidR="00D67590">
          <w:rPr>
            <w:rFonts w:ascii="仿宋" w:eastAsia="仿宋" w:hAnsi="仿宋" w:cs="仿宋" w:hint="eastAsia"/>
            <w:bCs/>
            <w:sz w:val="32"/>
            <w:szCs w:val="32"/>
          </w:rPr>
          <w:t>1.1 建立安全风险分级管控制度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_Toc26969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0316" w:history="1">
        <w:r w:rsidR="00D67590">
          <w:rPr>
            <w:rFonts w:ascii="仿宋" w:eastAsia="仿宋" w:hAnsi="仿宋" w:cs="仿宋" w:hint="eastAsia"/>
            <w:bCs/>
            <w:sz w:val="32"/>
            <w:szCs w:val="32"/>
          </w:rPr>
          <w:t>1.2 开展危险源辨识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_Toc10316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3386" w:history="1">
        <w:r w:rsidR="00D67590">
          <w:rPr>
            <w:rFonts w:ascii="仿宋" w:eastAsia="仿宋" w:hAnsi="仿宋" w:cs="仿宋" w:hint="eastAsia"/>
            <w:bCs/>
            <w:sz w:val="32"/>
            <w:szCs w:val="32"/>
          </w:rPr>
          <w:t>1.3 建立危险源清单</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_Toc23386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1420" w:history="1">
        <w:r w:rsidR="00D67590">
          <w:rPr>
            <w:rFonts w:ascii="仿宋" w:eastAsia="仿宋" w:hAnsi="仿宋" w:cs="仿宋" w:hint="eastAsia"/>
            <w:bCs/>
            <w:sz w:val="32"/>
            <w:szCs w:val="32"/>
          </w:rPr>
          <w:t>1.4 动态辨识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_Toc21420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1169" w:history="1">
        <w:r w:rsidR="00D67590">
          <w:rPr>
            <w:rFonts w:ascii="仿宋" w:eastAsia="仿宋" w:hAnsi="仿宋" w:cs="仿宋" w:hint="eastAsia"/>
            <w:sz w:val="32"/>
            <w:szCs w:val="32"/>
          </w:rPr>
          <w:t>2 研判机制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_Toc21169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146" w:history="1">
        <w:r w:rsidR="00D67590">
          <w:rPr>
            <w:rFonts w:ascii="仿宋" w:eastAsia="仿宋" w:hAnsi="仿宋" w:cs="仿宋" w:hint="eastAsia"/>
            <w:bCs/>
            <w:sz w:val="32"/>
            <w:szCs w:val="32"/>
          </w:rPr>
          <w:t>2.1 评价风险等级</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_Toc2146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0226" w:history="1">
        <w:r w:rsidR="00D67590">
          <w:rPr>
            <w:rFonts w:ascii="仿宋" w:eastAsia="仿宋" w:hAnsi="仿宋" w:cs="仿宋" w:hint="eastAsia"/>
            <w:bCs/>
            <w:sz w:val="32"/>
            <w:szCs w:val="32"/>
          </w:rPr>
          <w:t>2.2 建立重大风险危险源专项档案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_Toc20226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083" w:history="1">
        <w:r w:rsidR="00D67590">
          <w:rPr>
            <w:rFonts w:ascii="仿宋" w:eastAsia="仿宋" w:hAnsi="仿宋" w:cs="仿宋" w:hint="eastAsia"/>
            <w:sz w:val="32"/>
            <w:szCs w:val="32"/>
          </w:rPr>
          <w:t>3 预警机制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_Toc1083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8611" w:history="1">
        <w:r w:rsidR="00D67590">
          <w:rPr>
            <w:rFonts w:ascii="仿宋" w:eastAsia="仿宋" w:hAnsi="仿宋" w:cs="仿宋" w:hint="eastAsia"/>
            <w:bCs/>
            <w:sz w:val="32"/>
            <w:szCs w:val="32"/>
          </w:rPr>
          <w:t>3.1 落实监测监控措施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_Toc18611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4237" w:history="1">
        <w:r w:rsidR="00D67590">
          <w:rPr>
            <w:rFonts w:ascii="仿宋" w:eastAsia="仿宋" w:hAnsi="仿宋" w:cs="仿宋" w:hint="eastAsia"/>
            <w:bCs/>
            <w:sz w:val="32"/>
            <w:szCs w:val="32"/>
          </w:rPr>
          <w:t>3.2 严格值班值守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_Toc4237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9738" w:history="1">
        <w:r w:rsidR="00D67590">
          <w:rPr>
            <w:rFonts w:ascii="仿宋" w:eastAsia="仿宋" w:hAnsi="仿宋" w:cs="仿宋" w:hint="eastAsia"/>
            <w:bCs/>
            <w:sz w:val="32"/>
            <w:szCs w:val="32"/>
          </w:rPr>
          <w:t>3.3 及时实施预警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_Toc29738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9</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6374" w:history="1">
        <w:r w:rsidR="00D67590">
          <w:rPr>
            <w:rFonts w:ascii="仿宋" w:eastAsia="仿宋" w:hAnsi="仿宋" w:cs="仿宋" w:hint="eastAsia"/>
            <w:sz w:val="32"/>
            <w:szCs w:val="32"/>
          </w:rPr>
          <w:t>4 防范机制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_Toc26374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997" w:history="1">
        <w:r w:rsidR="00D67590">
          <w:rPr>
            <w:rFonts w:ascii="仿宋" w:eastAsia="仿宋" w:hAnsi="仿宋" w:cs="仿宋" w:hint="eastAsia"/>
            <w:bCs/>
            <w:sz w:val="32"/>
            <w:szCs w:val="32"/>
          </w:rPr>
          <w:t>4.1 落实风险分级管控责任</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_Toc1997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537" w:history="1">
        <w:r w:rsidR="00D67590">
          <w:rPr>
            <w:rFonts w:ascii="仿宋" w:eastAsia="仿宋" w:hAnsi="仿宋" w:cs="仿宋" w:hint="eastAsia"/>
            <w:bCs/>
            <w:sz w:val="32"/>
            <w:szCs w:val="32"/>
          </w:rPr>
          <w:t>4.2 落实风险管控措施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_Toc537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5410" w:history="1">
        <w:r w:rsidR="00D67590">
          <w:rPr>
            <w:rFonts w:ascii="仿宋" w:eastAsia="仿宋" w:hAnsi="仿宋" w:cs="仿宋" w:hint="eastAsia"/>
            <w:bCs/>
            <w:sz w:val="32"/>
            <w:szCs w:val="32"/>
          </w:rPr>
          <w:t>4.3 编制危险源辨识与风险评价报告</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_Toc25410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4013" w:history="1">
        <w:r w:rsidR="00D67590">
          <w:rPr>
            <w:rFonts w:ascii="仿宋" w:eastAsia="仿宋" w:hAnsi="仿宋" w:cs="仿宋" w:hint="eastAsia"/>
            <w:bCs/>
            <w:sz w:val="32"/>
            <w:szCs w:val="32"/>
          </w:rPr>
          <w:t>4.4 及时排查治理事故隐患</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_Toc24013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16</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0632" w:history="1">
        <w:r w:rsidR="00D67590">
          <w:rPr>
            <w:rFonts w:ascii="仿宋" w:eastAsia="仿宋" w:hAnsi="仿宋" w:cs="仿宋" w:hint="eastAsia"/>
            <w:sz w:val="32"/>
            <w:szCs w:val="32"/>
          </w:rPr>
          <w:t>5 处置机制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_Toc10632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5106" w:history="1">
        <w:r w:rsidR="00D67590">
          <w:rPr>
            <w:rFonts w:ascii="仿宋" w:eastAsia="仿宋" w:hAnsi="仿宋" w:cs="仿宋" w:hint="eastAsia"/>
            <w:bCs/>
            <w:sz w:val="32"/>
            <w:szCs w:val="32"/>
          </w:rPr>
          <w:t>5.1 建立健全应急预案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_Toc5106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1475" w:history="1">
        <w:r w:rsidR="00D67590">
          <w:rPr>
            <w:rFonts w:ascii="仿宋" w:eastAsia="仿宋" w:hAnsi="仿宋" w:cs="仿宋" w:hint="eastAsia"/>
            <w:bCs/>
            <w:sz w:val="32"/>
            <w:szCs w:val="32"/>
          </w:rPr>
          <w:t>5.2 明确应急队伍及物资</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_Toc11475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2279" w:history="1">
        <w:r w:rsidR="00D67590">
          <w:rPr>
            <w:rFonts w:ascii="仿宋" w:eastAsia="仿宋" w:hAnsi="仿宋" w:cs="仿宋" w:hint="eastAsia"/>
            <w:bCs/>
            <w:sz w:val="32"/>
            <w:szCs w:val="32"/>
          </w:rPr>
          <w:t>5.3 开展应急演练</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_Toc22279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19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6981" w:history="1">
        <w:r w:rsidR="00D67590">
          <w:rPr>
            <w:rFonts w:ascii="仿宋" w:eastAsia="仿宋" w:hAnsi="仿宋" w:cs="仿宋" w:hint="eastAsia"/>
            <w:bCs/>
            <w:sz w:val="32"/>
            <w:szCs w:val="32"/>
          </w:rPr>
          <w:t>5.4 快速有效开展应急处置</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_Toc16981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20</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0587" w:history="1">
        <w:r w:rsidR="00D67590">
          <w:rPr>
            <w:rFonts w:ascii="仿宋" w:eastAsia="仿宋" w:hAnsi="仿宋" w:cs="仿宋" w:hint="eastAsia"/>
            <w:sz w:val="32"/>
            <w:szCs w:val="32"/>
          </w:rPr>
          <w:t>6 责任机制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_Toc10587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379" w:history="1">
        <w:r w:rsidR="00D67590">
          <w:rPr>
            <w:rFonts w:ascii="仿宋" w:eastAsia="仿宋" w:hAnsi="仿宋" w:cs="仿宋" w:hint="eastAsia"/>
            <w:bCs/>
            <w:sz w:val="32"/>
            <w:szCs w:val="32"/>
          </w:rPr>
          <w:t>6.1 建立全员安全生产责任制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_Toc1379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3089" w:history="1">
        <w:r w:rsidR="00D67590">
          <w:rPr>
            <w:rFonts w:ascii="仿宋" w:eastAsia="仿宋" w:hAnsi="仿宋" w:cs="仿宋" w:hint="eastAsia"/>
            <w:bCs/>
            <w:sz w:val="32"/>
            <w:szCs w:val="32"/>
          </w:rPr>
          <w:t>6.2 开展教育培训</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_Toc23089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210" w:history="1">
        <w:r w:rsidR="00D67590">
          <w:rPr>
            <w:rFonts w:ascii="仿宋" w:eastAsia="仿宋" w:hAnsi="仿宋" w:cs="仿宋" w:hint="eastAsia"/>
            <w:bCs/>
            <w:sz w:val="32"/>
            <w:szCs w:val="32"/>
          </w:rPr>
          <w:t>6.3 开展责任制考核</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_Toc3210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23</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4803" w:history="1">
        <w:r w:rsidR="00D67590">
          <w:rPr>
            <w:rFonts w:ascii="仿宋" w:eastAsia="仿宋" w:hAnsi="仿宋" w:cs="仿宋" w:hint="eastAsia"/>
            <w:bCs/>
            <w:sz w:val="32"/>
            <w:szCs w:val="32"/>
          </w:rPr>
          <w:t>6.4 严格奖惩问责</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_Toc24803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23</w:t>
        </w:r>
        <w:r w:rsidR="00D67590">
          <w:rPr>
            <w:rFonts w:ascii="仿宋" w:eastAsia="仿宋" w:hAnsi="仿宋" w:cs="仿宋" w:hint="eastAsia"/>
            <w:sz w:val="32"/>
            <w:szCs w:val="32"/>
          </w:rPr>
          <w:fldChar w:fldCharType="end"/>
        </w:r>
      </w:hyperlink>
    </w:p>
    <w:p w:rsidR="007800EB" w:rsidRDefault="007A2333">
      <w:pPr>
        <w:pStyle w:val="10"/>
        <w:tabs>
          <w:tab w:val="right" w:leader="dot" w:pos="8300"/>
        </w:tabs>
        <w:rPr>
          <w:rFonts w:ascii="楷体" w:eastAsia="楷体" w:hAnsi="楷体" w:cs="楷体"/>
          <w:sz w:val="32"/>
          <w:szCs w:val="32"/>
        </w:rPr>
      </w:pPr>
      <w:hyperlink w:anchor="_Toc26777" w:history="1">
        <w:r w:rsidR="00D67590">
          <w:rPr>
            <w:rFonts w:ascii="楷体" w:eastAsia="楷体" w:hAnsi="楷体" w:cs="楷体" w:hint="eastAsia"/>
            <w:sz w:val="32"/>
            <w:szCs w:val="32"/>
          </w:rPr>
          <w:t>第三章 水利工程运行管理单位“六项机制”工作要求</w:t>
        </w:r>
        <w:r w:rsidR="00D67590">
          <w:rPr>
            <w:rFonts w:ascii="楷体" w:eastAsia="楷体" w:hAnsi="楷体" w:cs="楷体" w:hint="eastAsia"/>
            <w:sz w:val="32"/>
            <w:szCs w:val="32"/>
          </w:rPr>
          <w:tab/>
        </w:r>
        <w:r w:rsidR="00D67590">
          <w:rPr>
            <w:rFonts w:ascii="楷体" w:eastAsia="楷体" w:hAnsi="楷体" w:cs="楷体" w:hint="eastAsia"/>
            <w:sz w:val="32"/>
            <w:szCs w:val="32"/>
          </w:rPr>
          <w:fldChar w:fldCharType="begin"/>
        </w:r>
        <w:r w:rsidR="00D67590">
          <w:rPr>
            <w:rFonts w:ascii="楷体" w:eastAsia="楷体" w:hAnsi="楷体" w:cs="楷体" w:hint="eastAsia"/>
            <w:sz w:val="32"/>
            <w:szCs w:val="32"/>
          </w:rPr>
          <w:instrText xml:space="preserve"> PAGEREF _Toc26777 \h </w:instrText>
        </w:r>
        <w:r w:rsidR="00D67590">
          <w:rPr>
            <w:rFonts w:ascii="楷体" w:eastAsia="楷体" w:hAnsi="楷体" w:cs="楷体" w:hint="eastAsia"/>
            <w:sz w:val="32"/>
            <w:szCs w:val="32"/>
          </w:rPr>
        </w:r>
        <w:r w:rsidR="00D67590">
          <w:rPr>
            <w:rFonts w:ascii="楷体" w:eastAsia="楷体" w:hAnsi="楷体" w:cs="楷体" w:hint="eastAsia"/>
            <w:sz w:val="32"/>
            <w:szCs w:val="32"/>
          </w:rPr>
          <w:fldChar w:fldCharType="separate"/>
        </w:r>
        <w:r w:rsidR="00D67590">
          <w:rPr>
            <w:rFonts w:ascii="楷体" w:eastAsia="楷体" w:hAnsi="楷体" w:cs="楷体" w:hint="eastAsia"/>
            <w:sz w:val="32"/>
            <w:szCs w:val="32"/>
          </w:rPr>
          <w:t>30</w:t>
        </w:r>
        <w:r w:rsidR="00D67590">
          <w:rPr>
            <w:rFonts w:ascii="楷体" w:eastAsia="楷体" w:hAnsi="楷体" w:cs="楷体"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1878" w:history="1">
        <w:r w:rsidR="00D67590">
          <w:rPr>
            <w:rFonts w:ascii="仿宋" w:eastAsia="仿宋" w:hAnsi="仿宋" w:cs="仿宋" w:hint="eastAsia"/>
            <w:sz w:val="32"/>
            <w:szCs w:val="32"/>
            <w:lang w:val="en"/>
          </w:rPr>
          <w:t>1 查找机制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_Toc11878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30</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7576" w:history="1">
        <w:r w:rsidR="00D67590">
          <w:rPr>
            <w:rFonts w:ascii="仿宋" w:eastAsia="仿宋" w:hAnsi="仿宋" w:cs="仿宋" w:hint="eastAsia"/>
            <w:bCs/>
            <w:sz w:val="32"/>
            <w:szCs w:val="32"/>
          </w:rPr>
          <w:t>1.1 建立安全风险分级管控制度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_Toc17576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30</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989" w:history="1">
        <w:r w:rsidR="00D67590">
          <w:rPr>
            <w:rFonts w:ascii="仿宋" w:eastAsia="仿宋" w:hAnsi="仿宋" w:cs="仿宋" w:hint="eastAsia"/>
            <w:bCs/>
            <w:sz w:val="32"/>
            <w:szCs w:val="32"/>
          </w:rPr>
          <w:t>1.2 开展危险源辨识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_Toc3989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30</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0625" w:history="1">
        <w:r w:rsidR="00D67590">
          <w:rPr>
            <w:rFonts w:ascii="仿宋" w:eastAsia="仿宋" w:hAnsi="仿宋" w:cs="仿宋" w:hint="eastAsia"/>
            <w:bCs/>
            <w:sz w:val="32"/>
            <w:szCs w:val="32"/>
          </w:rPr>
          <w:t>1.3 建立危险源清单</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_Toc30625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0272" w:history="1">
        <w:r w:rsidR="00D67590">
          <w:rPr>
            <w:rFonts w:ascii="仿宋" w:eastAsia="仿宋" w:hAnsi="仿宋" w:cs="仿宋" w:hint="eastAsia"/>
            <w:bCs/>
            <w:sz w:val="32"/>
            <w:szCs w:val="32"/>
          </w:rPr>
          <w:t>1.4 动态辨识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_Toc20272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31</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6879" w:history="1">
        <w:r w:rsidR="00D67590">
          <w:rPr>
            <w:rFonts w:ascii="仿宋" w:eastAsia="仿宋" w:hAnsi="仿宋" w:cs="仿宋" w:hint="eastAsia"/>
            <w:sz w:val="32"/>
            <w:szCs w:val="32"/>
          </w:rPr>
          <w:t>2 研判机制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_Toc6879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31</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1856" w:history="1">
        <w:r w:rsidR="00D67590">
          <w:rPr>
            <w:rFonts w:ascii="仿宋" w:eastAsia="仿宋" w:hAnsi="仿宋" w:cs="仿宋" w:hint="eastAsia"/>
            <w:bCs/>
            <w:sz w:val="32"/>
            <w:szCs w:val="32"/>
          </w:rPr>
          <w:t>2.1 评价风险等级</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_Toc31856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32</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5842" w:history="1">
        <w:r w:rsidR="00D67590">
          <w:rPr>
            <w:rFonts w:ascii="仿宋" w:eastAsia="仿宋" w:hAnsi="仿宋" w:cs="仿宋" w:hint="eastAsia"/>
            <w:bCs/>
            <w:sz w:val="32"/>
            <w:szCs w:val="32"/>
          </w:rPr>
          <w:t>2.2 建立重大风险危险源专项档案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_Toc5842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32</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9118" w:history="1">
        <w:r w:rsidR="00D67590">
          <w:rPr>
            <w:rFonts w:ascii="仿宋" w:eastAsia="仿宋" w:hAnsi="仿宋" w:cs="仿宋" w:hint="eastAsia"/>
            <w:sz w:val="32"/>
            <w:szCs w:val="32"/>
          </w:rPr>
          <w:t>3 预警机制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_Toc9118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32</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4020" w:history="1">
        <w:r w:rsidR="00D67590">
          <w:rPr>
            <w:rFonts w:ascii="仿宋" w:eastAsia="仿宋" w:hAnsi="仿宋" w:cs="仿宋" w:hint="eastAsia"/>
            <w:bCs/>
            <w:sz w:val="32"/>
            <w:szCs w:val="32"/>
          </w:rPr>
          <w:t>3.1 落实监测监控措施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_Toc24020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32</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8695" w:history="1">
        <w:r w:rsidR="00D67590">
          <w:rPr>
            <w:rFonts w:ascii="仿宋" w:eastAsia="仿宋" w:hAnsi="仿宋" w:cs="仿宋" w:hint="eastAsia"/>
            <w:bCs/>
            <w:sz w:val="32"/>
            <w:szCs w:val="32"/>
          </w:rPr>
          <w:t>3.2 严格值班值守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_Toc28695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33</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726" w:history="1">
        <w:r w:rsidR="00D67590">
          <w:rPr>
            <w:rFonts w:ascii="仿宋" w:eastAsia="仿宋" w:hAnsi="仿宋" w:cs="仿宋" w:hint="eastAsia"/>
            <w:bCs/>
            <w:sz w:val="32"/>
            <w:szCs w:val="32"/>
          </w:rPr>
          <w:t>3.3 及时实施预警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_Toc3726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33</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1158" w:history="1">
        <w:r w:rsidR="00D67590">
          <w:rPr>
            <w:rFonts w:ascii="仿宋" w:eastAsia="仿宋" w:hAnsi="仿宋" w:cs="仿宋" w:hint="eastAsia"/>
            <w:sz w:val="32"/>
            <w:szCs w:val="32"/>
          </w:rPr>
          <w:t>4 防范机制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_Toc11158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7057" w:history="1">
        <w:r w:rsidR="00D67590">
          <w:rPr>
            <w:rFonts w:ascii="仿宋" w:eastAsia="仿宋" w:hAnsi="仿宋" w:cs="仿宋" w:hint="eastAsia"/>
            <w:bCs/>
            <w:sz w:val="32"/>
            <w:szCs w:val="32"/>
          </w:rPr>
          <w:t>4.1 落实风险分级管控责任</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_Toc17057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7849" w:history="1">
        <w:r w:rsidR="00D67590">
          <w:rPr>
            <w:rFonts w:ascii="仿宋" w:eastAsia="仿宋" w:hAnsi="仿宋" w:cs="仿宋" w:hint="eastAsia"/>
            <w:bCs/>
            <w:sz w:val="32"/>
            <w:szCs w:val="32"/>
          </w:rPr>
          <w:t>4.2 落实风险管控措施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_Toc27849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35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3162" w:history="1">
        <w:r w:rsidR="00D67590">
          <w:rPr>
            <w:rFonts w:ascii="仿宋" w:eastAsia="仿宋" w:hAnsi="仿宋" w:cs="仿宋" w:hint="eastAsia"/>
            <w:bCs/>
            <w:sz w:val="32"/>
            <w:szCs w:val="32"/>
          </w:rPr>
          <w:t>4.3 编制危险源辨识与风险评价报告</w:t>
        </w:r>
        <w:r w:rsidR="00D67590">
          <w:rPr>
            <w:rFonts w:ascii="仿宋" w:eastAsia="仿宋" w:hAnsi="仿宋" w:cs="仿宋" w:hint="eastAsia"/>
            <w:sz w:val="32"/>
            <w:szCs w:val="32"/>
          </w:rPr>
          <w:tab/>
          <w:t>4</w:t>
        </w:r>
      </w:hyperlink>
      <w:r w:rsidR="00D67590">
        <w:rPr>
          <w:rFonts w:ascii="仿宋" w:eastAsia="仿宋" w:hAnsi="仿宋" w:cs="仿宋" w:hint="eastAsia"/>
          <w:sz w:val="32"/>
          <w:szCs w:val="32"/>
        </w:rPr>
        <w:t>0</w:t>
      </w:r>
    </w:p>
    <w:p w:rsidR="007800EB" w:rsidRDefault="007A2333">
      <w:pPr>
        <w:pStyle w:val="30"/>
        <w:tabs>
          <w:tab w:val="right" w:leader="dot" w:pos="8300"/>
        </w:tabs>
        <w:rPr>
          <w:rFonts w:ascii="仿宋" w:eastAsia="仿宋" w:hAnsi="仿宋" w:cs="仿宋"/>
          <w:sz w:val="32"/>
          <w:szCs w:val="32"/>
        </w:rPr>
      </w:pPr>
      <w:hyperlink w:anchor="_Toc5997" w:history="1">
        <w:r w:rsidR="00D67590">
          <w:rPr>
            <w:rFonts w:ascii="仿宋" w:eastAsia="仿宋" w:hAnsi="仿宋" w:cs="仿宋" w:hint="eastAsia"/>
            <w:bCs/>
            <w:sz w:val="32"/>
            <w:szCs w:val="32"/>
          </w:rPr>
          <w:t>4.4 及时排查治理事故隐患</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_Toc5997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40</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8189" w:history="1">
        <w:r w:rsidR="00D67590">
          <w:rPr>
            <w:rFonts w:ascii="仿宋" w:eastAsia="仿宋" w:hAnsi="仿宋" w:cs="仿宋" w:hint="eastAsia"/>
            <w:sz w:val="32"/>
            <w:szCs w:val="32"/>
          </w:rPr>
          <w:t>5 处置机制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_Toc28189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42</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8850" w:history="1">
        <w:r w:rsidR="00D67590">
          <w:rPr>
            <w:rFonts w:ascii="仿宋" w:eastAsia="仿宋" w:hAnsi="仿宋" w:cs="仿宋" w:hint="eastAsia"/>
            <w:bCs/>
            <w:sz w:val="32"/>
            <w:szCs w:val="32"/>
          </w:rPr>
          <w:t>5.1 建立健全应急预案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_Toc8850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42</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2927" w:history="1">
        <w:r w:rsidR="00D67590">
          <w:rPr>
            <w:rFonts w:ascii="仿宋" w:eastAsia="仿宋" w:hAnsi="仿宋" w:cs="仿宋" w:hint="eastAsia"/>
            <w:bCs/>
            <w:sz w:val="32"/>
            <w:szCs w:val="32"/>
          </w:rPr>
          <w:t>5.2 明确应急队伍及物资</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_Toc22927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43</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2181" w:history="1">
        <w:r w:rsidR="00D67590">
          <w:rPr>
            <w:rFonts w:ascii="仿宋" w:eastAsia="仿宋" w:hAnsi="仿宋" w:cs="仿宋" w:hint="eastAsia"/>
            <w:bCs/>
            <w:sz w:val="32"/>
            <w:szCs w:val="32"/>
          </w:rPr>
          <w:t>5.3 开展应急演练</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_Toc32181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9055" w:history="1">
        <w:r w:rsidR="00D67590">
          <w:rPr>
            <w:rFonts w:ascii="仿宋" w:eastAsia="仿宋" w:hAnsi="仿宋" w:cs="仿宋" w:hint="eastAsia"/>
            <w:bCs/>
            <w:sz w:val="32"/>
            <w:szCs w:val="32"/>
          </w:rPr>
          <w:t>5.4 快速有效开展应急处置</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_Toc9055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44</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9635" w:history="1">
        <w:r w:rsidR="00D67590">
          <w:rPr>
            <w:rFonts w:ascii="仿宋" w:eastAsia="仿宋" w:hAnsi="仿宋" w:cs="仿宋" w:hint="eastAsia"/>
            <w:sz w:val="32"/>
            <w:szCs w:val="32"/>
          </w:rPr>
          <w:t>6 责任机制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_Toc29635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5985" w:history="1">
        <w:r w:rsidR="00D67590">
          <w:rPr>
            <w:rFonts w:ascii="仿宋" w:eastAsia="仿宋" w:hAnsi="仿宋" w:cs="仿宋" w:hint="eastAsia"/>
            <w:bCs/>
            <w:sz w:val="32"/>
            <w:szCs w:val="32"/>
          </w:rPr>
          <w:t>6.1 建立全员安全生产责任制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_Toc5985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9046" w:history="1">
        <w:r w:rsidR="00D67590">
          <w:rPr>
            <w:rFonts w:ascii="仿宋" w:eastAsia="仿宋" w:hAnsi="仿宋" w:cs="仿宋" w:hint="eastAsia"/>
            <w:bCs/>
            <w:sz w:val="32"/>
            <w:szCs w:val="32"/>
          </w:rPr>
          <w:t>6.2 开展教育培训</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_Toc9046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5229" w:history="1">
        <w:r w:rsidR="00D67590">
          <w:rPr>
            <w:rFonts w:ascii="仿宋" w:eastAsia="仿宋" w:hAnsi="仿宋" w:cs="仿宋" w:hint="eastAsia"/>
            <w:bCs/>
            <w:sz w:val="32"/>
            <w:szCs w:val="32"/>
          </w:rPr>
          <w:t>6.3 开展责任制考核</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_Toc15229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7585" w:history="1">
        <w:r w:rsidR="00D67590">
          <w:rPr>
            <w:rFonts w:ascii="仿宋" w:eastAsia="仿宋" w:hAnsi="仿宋" w:cs="仿宋" w:hint="eastAsia"/>
            <w:bCs/>
            <w:sz w:val="32"/>
            <w:szCs w:val="32"/>
          </w:rPr>
          <w:t>6.4 严格奖惩问责</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_Toc7585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47</w:t>
        </w:r>
        <w:r w:rsidR="00D67590">
          <w:rPr>
            <w:rFonts w:ascii="仿宋" w:eastAsia="仿宋" w:hAnsi="仿宋" w:cs="仿宋" w:hint="eastAsia"/>
            <w:sz w:val="32"/>
            <w:szCs w:val="32"/>
          </w:rPr>
          <w:fldChar w:fldCharType="end"/>
        </w:r>
      </w:hyperlink>
    </w:p>
    <w:p w:rsidR="007800EB" w:rsidRDefault="007A2333">
      <w:pPr>
        <w:pStyle w:val="10"/>
        <w:tabs>
          <w:tab w:val="right" w:leader="dot" w:pos="8300"/>
        </w:tabs>
        <w:rPr>
          <w:rFonts w:ascii="楷体" w:eastAsia="楷体" w:hAnsi="楷体" w:cs="楷体"/>
          <w:sz w:val="32"/>
          <w:szCs w:val="32"/>
        </w:rPr>
      </w:pPr>
      <w:hyperlink w:anchor="_Toc7006" w:history="1">
        <w:r w:rsidR="00D67590">
          <w:rPr>
            <w:rFonts w:ascii="楷体" w:eastAsia="楷体" w:hAnsi="楷体" w:cs="楷体" w:hint="eastAsia"/>
            <w:sz w:val="32"/>
            <w:szCs w:val="32"/>
          </w:rPr>
          <w:t>第四章 其他水利生产经营单位“六项机制”工作要求</w:t>
        </w:r>
        <w:r w:rsidR="00D67590">
          <w:rPr>
            <w:rFonts w:ascii="楷体" w:eastAsia="楷体" w:hAnsi="楷体" w:cs="楷体" w:hint="eastAsia"/>
            <w:sz w:val="32"/>
            <w:szCs w:val="32"/>
          </w:rPr>
          <w:tab/>
        </w:r>
        <w:r w:rsidR="00D67590">
          <w:rPr>
            <w:rFonts w:ascii="楷体" w:eastAsia="楷体" w:hAnsi="楷体" w:cs="楷体" w:hint="eastAsia"/>
            <w:sz w:val="32"/>
            <w:szCs w:val="32"/>
          </w:rPr>
          <w:fldChar w:fldCharType="begin"/>
        </w:r>
        <w:r w:rsidR="00D67590">
          <w:rPr>
            <w:rFonts w:ascii="楷体" w:eastAsia="楷体" w:hAnsi="楷体" w:cs="楷体" w:hint="eastAsia"/>
            <w:sz w:val="32"/>
            <w:szCs w:val="32"/>
          </w:rPr>
          <w:instrText xml:space="preserve"> PAGEREF _Toc7006 \h </w:instrText>
        </w:r>
        <w:r w:rsidR="00D67590">
          <w:rPr>
            <w:rFonts w:ascii="楷体" w:eastAsia="楷体" w:hAnsi="楷体" w:cs="楷体" w:hint="eastAsia"/>
            <w:sz w:val="32"/>
            <w:szCs w:val="32"/>
          </w:rPr>
        </w:r>
        <w:r w:rsidR="00D67590">
          <w:rPr>
            <w:rFonts w:ascii="楷体" w:eastAsia="楷体" w:hAnsi="楷体" w:cs="楷体" w:hint="eastAsia"/>
            <w:sz w:val="32"/>
            <w:szCs w:val="32"/>
          </w:rPr>
          <w:fldChar w:fldCharType="separate"/>
        </w:r>
        <w:r w:rsidR="00D67590">
          <w:rPr>
            <w:rFonts w:ascii="楷体" w:eastAsia="楷体" w:hAnsi="楷体" w:cs="楷体" w:hint="eastAsia"/>
            <w:sz w:val="32"/>
            <w:szCs w:val="32"/>
          </w:rPr>
          <w:t>54</w:t>
        </w:r>
        <w:r w:rsidR="00D67590">
          <w:rPr>
            <w:rFonts w:ascii="楷体" w:eastAsia="楷体" w:hAnsi="楷体" w:cs="楷体"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529" w:history="1">
        <w:r w:rsidR="00D67590">
          <w:rPr>
            <w:rFonts w:ascii="仿宋" w:eastAsia="仿宋" w:hAnsi="仿宋" w:cs="仿宋" w:hint="eastAsia"/>
            <w:sz w:val="32"/>
            <w:szCs w:val="32"/>
            <w:lang w:val="en"/>
          </w:rPr>
          <w:t>1 查找机制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_Toc2529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9097" w:history="1">
        <w:r w:rsidR="00D67590">
          <w:rPr>
            <w:rFonts w:ascii="仿宋" w:eastAsia="仿宋" w:hAnsi="仿宋" w:cs="仿宋" w:hint="eastAsia"/>
            <w:bCs/>
            <w:sz w:val="32"/>
            <w:szCs w:val="32"/>
          </w:rPr>
          <w:t>1.1 建立安全风险分级管控制度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_Toc19097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2874" w:history="1">
        <w:r w:rsidR="00D67590">
          <w:rPr>
            <w:rFonts w:ascii="仿宋" w:eastAsia="仿宋" w:hAnsi="仿宋" w:cs="仿宋" w:hint="eastAsia"/>
            <w:bCs/>
            <w:sz w:val="32"/>
            <w:szCs w:val="32"/>
          </w:rPr>
          <w:t>1.2 开展危险源辨识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_Toc22874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6472" w:history="1">
        <w:r w:rsidR="00D67590">
          <w:rPr>
            <w:rFonts w:ascii="仿宋" w:eastAsia="仿宋" w:hAnsi="仿宋" w:cs="仿宋" w:hint="eastAsia"/>
            <w:bCs/>
            <w:sz w:val="32"/>
            <w:szCs w:val="32"/>
          </w:rPr>
          <w:t>1.3 建立危险源清单</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_Toc6472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4368" w:history="1">
        <w:r w:rsidR="00D67590">
          <w:rPr>
            <w:rFonts w:ascii="仿宋" w:eastAsia="仿宋" w:hAnsi="仿宋" w:cs="仿宋" w:hint="eastAsia"/>
            <w:bCs/>
            <w:sz w:val="32"/>
            <w:szCs w:val="32"/>
          </w:rPr>
          <w:t>1.4 动态辨识</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_Toc14368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55</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5663" w:history="1">
        <w:r w:rsidR="00D67590">
          <w:rPr>
            <w:rFonts w:ascii="仿宋" w:eastAsia="仿宋" w:hAnsi="仿宋" w:cs="仿宋" w:hint="eastAsia"/>
            <w:sz w:val="32"/>
            <w:szCs w:val="32"/>
          </w:rPr>
          <w:t>2 研判机制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_Toc5663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365" w:history="1">
        <w:r w:rsidR="00D67590">
          <w:rPr>
            <w:rFonts w:ascii="仿宋" w:eastAsia="仿宋" w:hAnsi="仿宋" w:cs="仿宋" w:hint="eastAsia"/>
            <w:bCs/>
            <w:sz w:val="32"/>
            <w:szCs w:val="32"/>
          </w:rPr>
          <w:t>2.1 评价风险等级</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_Toc2365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4742" w:history="1">
        <w:r w:rsidR="00D67590">
          <w:rPr>
            <w:rFonts w:ascii="仿宋" w:eastAsia="仿宋" w:hAnsi="仿宋" w:cs="仿宋" w:hint="eastAsia"/>
            <w:bCs/>
            <w:sz w:val="32"/>
            <w:szCs w:val="32"/>
          </w:rPr>
          <w:t>2.2 建立重大风险危险源专项档案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_Toc4742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56</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8914" w:history="1">
        <w:r w:rsidR="00D67590">
          <w:rPr>
            <w:rFonts w:ascii="仿宋" w:eastAsia="仿宋" w:hAnsi="仿宋" w:cs="仿宋" w:hint="eastAsia"/>
            <w:sz w:val="32"/>
            <w:szCs w:val="32"/>
          </w:rPr>
          <w:t>3 预警机制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_Toc28914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6456" w:history="1">
        <w:r w:rsidR="00D67590">
          <w:rPr>
            <w:rFonts w:ascii="仿宋" w:eastAsia="仿宋" w:hAnsi="仿宋" w:cs="仿宋" w:hint="eastAsia"/>
            <w:bCs/>
            <w:sz w:val="32"/>
            <w:szCs w:val="32"/>
          </w:rPr>
          <w:t>3.1 落实监测监控措施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_Toc16456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7961" w:history="1">
        <w:r w:rsidR="00D67590">
          <w:rPr>
            <w:rFonts w:ascii="仿宋" w:eastAsia="仿宋" w:hAnsi="仿宋" w:cs="仿宋" w:hint="eastAsia"/>
            <w:bCs/>
            <w:sz w:val="32"/>
            <w:szCs w:val="32"/>
          </w:rPr>
          <w:t>3.2 严格值班值守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_Toc17961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2200" w:history="1">
        <w:r w:rsidR="00D67590">
          <w:rPr>
            <w:rFonts w:ascii="仿宋" w:eastAsia="仿宋" w:hAnsi="仿宋" w:cs="仿宋" w:hint="eastAsia"/>
            <w:bCs/>
            <w:sz w:val="32"/>
            <w:szCs w:val="32"/>
          </w:rPr>
          <w:t>3.3 及时实施预警</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_Toc32200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57</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9541" w:history="1">
        <w:r w:rsidR="00D67590">
          <w:rPr>
            <w:rFonts w:ascii="仿宋" w:eastAsia="仿宋" w:hAnsi="仿宋" w:cs="仿宋" w:hint="eastAsia"/>
            <w:sz w:val="32"/>
            <w:szCs w:val="32"/>
          </w:rPr>
          <w:t>4 防范机制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_Toc19541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9683" w:history="1">
        <w:r w:rsidR="00D67590">
          <w:rPr>
            <w:rFonts w:ascii="仿宋" w:eastAsia="仿宋" w:hAnsi="仿宋" w:cs="仿宋" w:hint="eastAsia"/>
            <w:bCs/>
            <w:sz w:val="32"/>
            <w:szCs w:val="32"/>
          </w:rPr>
          <w:t>4.1 落实风险分级管控责任</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_Toc19683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4902" w:history="1">
        <w:r w:rsidR="00D67590">
          <w:rPr>
            <w:rFonts w:ascii="仿宋" w:eastAsia="仿宋" w:hAnsi="仿宋" w:cs="仿宋" w:hint="eastAsia"/>
            <w:bCs/>
            <w:sz w:val="32"/>
            <w:szCs w:val="32"/>
          </w:rPr>
          <w:t>4.2 落实风险管控措施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_Toc24902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58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4586" w:history="1">
        <w:r w:rsidR="00D67590">
          <w:rPr>
            <w:rFonts w:ascii="仿宋" w:eastAsia="仿宋" w:hAnsi="仿宋" w:cs="仿宋" w:hint="eastAsia"/>
            <w:bCs/>
            <w:sz w:val="32"/>
            <w:szCs w:val="32"/>
          </w:rPr>
          <w:t>4.3 编制危险源辨识与风险评价报告</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_Toc4586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63</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eastAsia="仿宋"/>
        </w:rPr>
      </w:pPr>
      <w:hyperlink w:anchor="_Toc4586" w:history="1">
        <w:r w:rsidR="00D67590">
          <w:rPr>
            <w:rFonts w:ascii="仿宋" w:eastAsia="仿宋" w:hAnsi="仿宋" w:cs="仿宋" w:hint="eastAsia"/>
            <w:bCs/>
            <w:sz w:val="32"/>
            <w:szCs w:val="32"/>
          </w:rPr>
          <w:t>4.4 及时排查治理事故隐患</w:t>
        </w:r>
        <w:r w:rsidR="00D67590">
          <w:rPr>
            <w:rFonts w:ascii="仿宋" w:eastAsia="仿宋" w:hAnsi="仿宋" w:cs="仿宋" w:hint="eastAsia"/>
            <w:sz w:val="32"/>
            <w:szCs w:val="32"/>
          </w:rPr>
          <w:tab/>
          <w:t>6</w:t>
        </w:r>
      </w:hyperlink>
      <w:r w:rsidR="00D67590">
        <w:rPr>
          <w:rFonts w:ascii="仿宋" w:eastAsia="仿宋" w:hAnsi="仿宋" w:cs="仿宋" w:hint="eastAsia"/>
          <w:sz w:val="32"/>
          <w:szCs w:val="32"/>
        </w:rPr>
        <w:t>4</w:t>
      </w:r>
    </w:p>
    <w:p w:rsidR="007800EB" w:rsidRDefault="007A2333">
      <w:pPr>
        <w:pStyle w:val="20"/>
        <w:tabs>
          <w:tab w:val="right" w:leader="dot" w:pos="8300"/>
        </w:tabs>
        <w:rPr>
          <w:rFonts w:ascii="仿宋" w:eastAsia="仿宋" w:hAnsi="仿宋" w:cs="仿宋"/>
          <w:sz w:val="32"/>
          <w:szCs w:val="32"/>
        </w:rPr>
      </w:pPr>
      <w:hyperlink w:anchor="_Toc26309" w:history="1">
        <w:r w:rsidR="00D67590">
          <w:rPr>
            <w:rFonts w:ascii="仿宋" w:eastAsia="仿宋" w:hAnsi="仿宋" w:cs="仿宋" w:hint="eastAsia"/>
            <w:sz w:val="32"/>
            <w:szCs w:val="32"/>
          </w:rPr>
          <w:t>5 处置机制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_Toc26309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65</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5428" w:history="1">
        <w:r w:rsidR="00D67590">
          <w:rPr>
            <w:rFonts w:ascii="仿宋" w:eastAsia="仿宋" w:hAnsi="仿宋" w:cs="仿宋" w:hint="eastAsia"/>
            <w:bCs/>
            <w:sz w:val="32"/>
            <w:szCs w:val="32"/>
          </w:rPr>
          <w:t>5.1 建立健全应急预案</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_Toc25428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66</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1764" w:history="1">
        <w:r w:rsidR="00D67590">
          <w:rPr>
            <w:rFonts w:ascii="仿宋" w:eastAsia="仿宋" w:hAnsi="仿宋" w:cs="仿宋" w:hint="eastAsia"/>
            <w:bCs/>
            <w:sz w:val="32"/>
            <w:szCs w:val="32"/>
          </w:rPr>
          <w:t>5.2 明确应急队伍及物资</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_Toc11764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4363" w:history="1">
        <w:r w:rsidR="00D67590">
          <w:rPr>
            <w:rFonts w:ascii="仿宋" w:eastAsia="仿宋" w:hAnsi="仿宋" w:cs="仿宋" w:hint="eastAsia"/>
            <w:bCs/>
            <w:sz w:val="32"/>
            <w:szCs w:val="32"/>
          </w:rPr>
          <w:t>5.3 开展应急演练</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_Toc14363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67</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6853" w:history="1">
        <w:r w:rsidR="00D67590">
          <w:rPr>
            <w:rFonts w:ascii="仿宋" w:eastAsia="仿宋" w:hAnsi="仿宋" w:cs="仿宋" w:hint="eastAsia"/>
            <w:bCs/>
            <w:sz w:val="32"/>
            <w:szCs w:val="32"/>
          </w:rPr>
          <w:t>5.4 快速有效开展应急处置</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_Toc6853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68</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9149" w:history="1">
        <w:r w:rsidR="00D67590">
          <w:rPr>
            <w:rFonts w:ascii="仿宋" w:eastAsia="仿宋" w:hAnsi="仿宋" w:cs="仿宋" w:hint="eastAsia"/>
            <w:sz w:val="32"/>
            <w:szCs w:val="32"/>
          </w:rPr>
          <w:t>6 责任机制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_Toc29149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0241" w:history="1">
        <w:r w:rsidR="00D67590">
          <w:rPr>
            <w:rFonts w:ascii="仿宋" w:eastAsia="仿宋" w:hAnsi="仿宋" w:cs="仿宋" w:hint="eastAsia"/>
            <w:bCs/>
            <w:sz w:val="32"/>
            <w:szCs w:val="32"/>
          </w:rPr>
          <w:t>6.1 建立全员安全生产责任制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_Toc10241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6942" w:history="1">
        <w:r w:rsidR="00D67590">
          <w:rPr>
            <w:rFonts w:ascii="仿宋" w:eastAsia="仿宋" w:hAnsi="仿宋" w:cs="仿宋" w:hint="eastAsia"/>
            <w:bCs/>
            <w:sz w:val="32"/>
            <w:szCs w:val="32"/>
          </w:rPr>
          <w:t>6.2 开展教育培训</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_Toc26942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69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0907" w:history="1">
        <w:r w:rsidR="00D67590">
          <w:rPr>
            <w:rFonts w:ascii="仿宋" w:eastAsia="仿宋" w:hAnsi="仿宋" w:cs="仿宋" w:hint="eastAsia"/>
            <w:bCs/>
            <w:sz w:val="32"/>
            <w:szCs w:val="32"/>
          </w:rPr>
          <w:t>6.3 开展责任制考核</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_Toc30907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70</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5660" w:history="1">
        <w:r w:rsidR="00D67590">
          <w:rPr>
            <w:rFonts w:ascii="仿宋" w:eastAsia="仿宋" w:hAnsi="仿宋" w:cs="仿宋" w:hint="eastAsia"/>
            <w:bCs/>
            <w:sz w:val="32"/>
            <w:szCs w:val="32"/>
          </w:rPr>
          <w:t>6.4 严格奖惩问责</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_Toc5660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70</w:t>
        </w:r>
        <w:r w:rsidR="00D67590">
          <w:rPr>
            <w:rFonts w:ascii="仿宋" w:eastAsia="仿宋" w:hAnsi="仿宋" w:cs="仿宋" w:hint="eastAsia"/>
            <w:sz w:val="32"/>
            <w:szCs w:val="32"/>
          </w:rPr>
          <w:fldChar w:fldCharType="end"/>
        </w:r>
      </w:hyperlink>
    </w:p>
    <w:p w:rsidR="007800EB" w:rsidRDefault="007A2333">
      <w:pPr>
        <w:pStyle w:val="10"/>
        <w:tabs>
          <w:tab w:val="right" w:leader="dot" w:pos="8300"/>
        </w:tabs>
        <w:rPr>
          <w:rFonts w:ascii="楷体" w:eastAsia="楷体" w:hAnsi="楷体" w:cs="楷体"/>
          <w:sz w:val="32"/>
          <w:szCs w:val="32"/>
        </w:rPr>
      </w:pPr>
      <w:hyperlink w:anchor="_Toc18975" w:history="1">
        <w:r w:rsidR="00D67590">
          <w:rPr>
            <w:rFonts w:ascii="楷体" w:eastAsia="楷体" w:hAnsi="楷体" w:cs="楷体" w:hint="eastAsia"/>
            <w:spacing w:val="-20"/>
            <w:sz w:val="32"/>
            <w:szCs w:val="32"/>
          </w:rPr>
          <w:t>第五章 水行政主管部门、流域管理机构“六项机制”工作要求</w:t>
        </w:r>
        <w:r w:rsidR="00D67590">
          <w:rPr>
            <w:rFonts w:ascii="楷体" w:eastAsia="楷体" w:hAnsi="楷体" w:cs="楷体" w:hint="eastAsia"/>
            <w:sz w:val="32"/>
            <w:szCs w:val="32"/>
          </w:rPr>
          <w:tab/>
        </w:r>
        <w:r w:rsidR="00D67590">
          <w:rPr>
            <w:rFonts w:ascii="楷体" w:eastAsia="楷体" w:hAnsi="楷体" w:cs="楷体" w:hint="eastAsia"/>
            <w:sz w:val="32"/>
            <w:szCs w:val="32"/>
          </w:rPr>
          <w:fldChar w:fldCharType="begin"/>
        </w:r>
        <w:r w:rsidR="00D67590">
          <w:rPr>
            <w:rFonts w:ascii="楷体" w:eastAsia="楷体" w:hAnsi="楷体" w:cs="楷体" w:hint="eastAsia"/>
            <w:sz w:val="32"/>
            <w:szCs w:val="32"/>
          </w:rPr>
          <w:instrText xml:space="preserve"> PAGEREF _Toc18975 \h </w:instrText>
        </w:r>
        <w:r w:rsidR="00D67590">
          <w:rPr>
            <w:rFonts w:ascii="楷体" w:eastAsia="楷体" w:hAnsi="楷体" w:cs="楷体" w:hint="eastAsia"/>
            <w:sz w:val="32"/>
            <w:szCs w:val="32"/>
          </w:rPr>
        </w:r>
        <w:r w:rsidR="00D67590">
          <w:rPr>
            <w:rFonts w:ascii="楷体" w:eastAsia="楷体" w:hAnsi="楷体" w:cs="楷体" w:hint="eastAsia"/>
            <w:sz w:val="32"/>
            <w:szCs w:val="32"/>
          </w:rPr>
          <w:fldChar w:fldCharType="separate"/>
        </w:r>
        <w:r w:rsidR="00D67590">
          <w:rPr>
            <w:rFonts w:ascii="楷体" w:eastAsia="楷体" w:hAnsi="楷体" w:cs="楷体" w:hint="eastAsia"/>
            <w:sz w:val="32"/>
            <w:szCs w:val="32"/>
          </w:rPr>
          <w:t>78</w:t>
        </w:r>
        <w:r w:rsidR="00D67590">
          <w:rPr>
            <w:rFonts w:ascii="楷体" w:eastAsia="楷体" w:hAnsi="楷体" w:cs="楷体"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8928" w:history="1">
        <w:r w:rsidR="00D67590">
          <w:rPr>
            <w:rFonts w:ascii="仿宋" w:eastAsia="仿宋" w:hAnsi="仿宋" w:cs="仿宋" w:hint="eastAsia"/>
            <w:sz w:val="32"/>
            <w:szCs w:val="32"/>
          </w:rPr>
          <w:t>1 查找机制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_Toc28928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8373" w:history="1">
        <w:r w:rsidR="00D67590">
          <w:rPr>
            <w:rFonts w:ascii="仿宋" w:eastAsia="仿宋" w:hAnsi="仿宋" w:cs="仿宋" w:hint="eastAsia"/>
            <w:bCs/>
            <w:sz w:val="32"/>
            <w:szCs w:val="32"/>
          </w:rPr>
          <w:t>1.1 建立重大风险危险源信息审核报告机制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_Toc28373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0389" w:history="1">
        <w:r w:rsidR="00D67590">
          <w:rPr>
            <w:rFonts w:ascii="仿宋" w:eastAsia="仿宋" w:hAnsi="仿宋" w:cs="仿宋" w:hint="eastAsia"/>
            <w:bCs/>
            <w:sz w:val="32"/>
            <w:szCs w:val="32"/>
          </w:rPr>
          <w:t>1.2 建立重大风险危险源监管清单</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_Toc10389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78</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7563" w:history="1">
        <w:r w:rsidR="00D67590">
          <w:rPr>
            <w:rFonts w:ascii="仿宋" w:eastAsia="仿宋" w:hAnsi="仿宋" w:cs="仿宋" w:hint="eastAsia"/>
            <w:bCs/>
            <w:sz w:val="32"/>
            <w:szCs w:val="32"/>
          </w:rPr>
          <w:t>1.3 加强重大风险危险源监管</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_Toc7563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78</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25656" w:history="1">
        <w:r w:rsidR="00D67590">
          <w:rPr>
            <w:rFonts w:ascii="仿宋" w:eastAsia="仿宋" w:hAnsi="仿宋" w:cs="仿宋" w:hint="eastAsia"/>
            <w:sz w:val="32"/>
            <w:szCs w:val="32"/>
          </w:rPr>
          <w:t>2 研判机制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_Toc25656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15090" w:history="1">
        <w:r w:rsidR="00D67590">
          <w:rPr>
            <w:rFonts w:ascii="仿宋" w:eastAsia="仿宋" w:hAnsi="仿宋" w:cs="仿宋" w:hint="eastAsia"/>
            <w:bCs/>
            <w:sz w:val="32"/>
            <w:szCs w:val="32"/>
          </w:rPr>
          <w:t>2.1 开展安全生产状况评价</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_Toc15090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9268" w:history="1">
        <w:r w:rsidR="00D67590">
          <w:rPr>
            <w:rFonts w:ascii="仿宋" w:eastAsia="仿宋" w:hAnsi="仿宋" w:cs="仿宋" w:hint="eastAsia"/>
            <w:bCs/>
            <w:sz w:val="32"/>
            <w:szCs w:val="32"/>
          </w:rPr>
          <w:t>2.2 落实监管措施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_Toc9268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5899" w:history="1">
        <w:r w:rsidR="00D67590">
          <w:rPr>
            <w:rFonts w:ascii="仿宋" w:eastAsia="仿宋" w:hAnsi="仿宋" w:cs="仿宋" w:hint="eastAsia"/>
            <w:sz w:val="32"/>
            <w:szCs w:val="32"/>
          </w:rPr>
          <w:t>3 预警机制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_Toc5899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3551" w:history="1">
        <w:r w:rsidR="00D67590">
          <w:rPr>
            <w:rFonts w:ascii="仿宋" w:eastAsia="仿宋" w:hAnsi="仿宋" w:cs="仿宋" w:hint="eastAsia"/>
            <w:bCs/>
            <w:sz w:val="32"/>
            <w:szCs w:val="32"/>
          </w:rPr>
          <w:t>3.1 明确预警条件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_Toc3551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7080" w:history="1">
        <w:r w:rsidR="00D67590">
          <w:rPr>
            <w:rFonts w:ascii="仿宋" w:eastAsia="仿宋" w:hAnsi="仿宋" w:cs="仿宋" w:hint="eastAsia"/>
            <w:bCs/>
            <w:sz w:val="32"/>
            <w:szCs w:val="32"/>
          </w:rPr>
          <w:t>3.2 及时采取处置措施</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_Toc27080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79</w:t>
        </w:r>
        <w:r w:rsidR="00D67590">
          <w:rPr>
            <w:rFonts w:ascii="仿宋" w:eastAsia="仿宋" w:hAnsi="仿宋" w:cs="仿宋"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8829" w:history="1">
        <w:r w:rsidR="00D67590">
          <w:rPr>
            <w:rFonts w:ascii="仿宋" w:eastAsia="仿宋" w:hAnsi="仿宋" w:cs="仿宋" w:hint="eastAsia"/>
            <w:sz w:val="32"/>
            <w:szCs w:val="32"/>
          </w:rPr>
          <w:t>4 防范机制</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80</w:t>
      </w:r>
    </w:p>
    <w:p w:rsidR="007800EB" w:rsidRDefault="007A2333">
      <w:pPr>
        <w:pStyle w:val="30"/>
        <w:tabs>
          <w:tab w:val="right" w:leader="dot" w:pos="8300"/>
        </w:tabs>
        <w:rPr>
          <w:rFonts w:ascii="仿宋" w:eastAsia="仿宋" w:hAnsi="仿宋" w:cs="仿宋"/>
          <w:sz w:val="32"/>
          <w:szCs w:val="32"/>
        </w:rPr>
      </w:pPr>
      <w:hyperlink w:anchor="_Toc29104" w:history="1">
        <w:r w:rsidR="00D67590">
          <w:rPr>
            <w:rFonts w:ascii="仿宋" w:eastAsia="仿宋" w:hAnsi="仿宋" w:cs="仿宋" w:hint="eastAsia"/>
            <w:bCs/>
            <w:sz w:val="32"/>
            <w:szCs w:val="32"/>
          </w:rPr>
          <w:t>4.1 推进“安全监管+信息化”</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80</w:t>
      </w:r>
    </w:p>
    <w:p w:rsidR="007800EB" w:rsidRDefault="007A2333">
      <w:pPr>
        <w:pStyle w:val="30"/>
        <w:tabs>
          <w:tab w:val="right" w:leader="dot" w:pos="8300"/>
        </w:tabs>
        <w:rPr>
          <w:rFonts w:ascii="仿宋" w:eastAsia="仿宋" w:hAnsi="仿宋" w:cs="仿宋"/>
          <w:sz w:val="32"/>
          <w:szCs w:val="32"/>
        </w:rPr>
      </w:pPr>
      <w:hyperlink w:anchor="_Toc32037" w:history="1">
        <w:r w:rsidR="00D67590">
          <w:rPr>
            <w:rFonts w:ascii="仿宋" w:eastAsia="仿宋" w:hAnsi="仿宋" w:cs="仿宋" w:hint="eastAsia"/>
            <w:bCs/>
            <w:sz w:val="32"/>
            <w:szCs w:val="32"/>
          </w:rPr>
          <w:t>4.2 开展现场监督执法</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80</w:t>
      </w:r>
    </w:p>
    <w:p w:rsidR="007800EB" w:rsidRDefault="007A2333">
      <w:pPr>
        <w:pStyle w:val="30"/>
        <w:tabs>
          <w:tab w:val="right" w:leader="dot" w:pos="8300"/>
        </w:tabs>
        <w:rPr>
          <w:rFonts w:ascii="仿宋" w:eastAsia="仿宋" w:hAnsi="仿宋" w:cs="仿宋"/>
          <w:sz w:val="32"/>
          <w:szCs w:val="32"/>
        </w:rPr>
      </w:pPr>
      <w:hyperlink w:anchor="_Toc156" w:history="1">
        <w:r w:rsidR="00D67590">
          <w:rPr>
            <w:rFonts w:ascii="仿宋" w:eastAsia="仿宋" w:hAnsi="仿宋" w:cs="仿宋" w:hint="eastAsia"/>
            <w:bCs/>
            <w:sz w:val="32"/>
            <w:szCs w:val="32"/>
          </w:rPr>
          <w:t>4.3 建立重大事故隐患治理审核销号机制</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80</w:t>
      </w:r>
    </w:p>
    <w:p w:rsidR="007800EB" w:rsidRDefault="007A2333">
      <w:pPr>
        <w:pStyle w:val="30"/>
        <w:tabs>
          <w:tab w:val="right" w:leader="dot" w:pos="8300"/>
        </w:tabs>
        <w:rPr>
          <w:rFonts w:ascii="仿宋" w:eastAsia="仿宋" w:hAnsi="仿宋" w:cs="仿宋"/>
          <w:sz w:val="32"/>
          <w:szCs w:val="32"/>
        </w:rPr>
      </w:pPr>
      <w:hyperlink w:anchor="_Toc12385" w:history="1">
        <w:r w:rsidR="00D67590">
          <w:rPr>
            <w:rFonts w:ascii="仿宋" w:eastAsia="仿宋" w:hAnsi="仿宋" w:cs="仿宋" w:hint="eastAsia"/>
            <w:bCs/>
            <w:sz w:val="32"/>
            <w:szCs w:val="32"/>
          </w:rPr>
          <w:t>4.4 开展安全生产教育培训</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81</w:t>
      </w:r>
    </w:p>
    <w:p w:rsidR="007800EB" w:rsidRDefault="007A2333">
      <w:pPr>
        <w:pStyle w:val="20"/>
        <w:tabs>
          <w:tab w:val="right" w:leader="dot" w:pos="8300"/>
        </w:tabs>
        <w:rPr>
          <w:rFonts w:ascii="仿宋" w:eastAsia="仿宋" w:hAnsi="仿宋" w:cs="仿宋"/>
          <w:sz w:val="32"/>
          <w:szCs w:val="32"/>
        </w:rPr>
      </w:pPr>
      <w:hyperlink w:anchor="_Toc12163" w:history="1">
        <w:r w:rsidR="00D67590">
          <w:rPr>
            <w:rFonts w:ascii="仿宋" w:eastAsia="仿宋" w:hAnsi="仿宋" w:cs="仿宋" w:hint="eastAsia"/>
            <w:sz w:val="32"/>
            <w:szCs w:val="32"/>
          </w:rPr>
          <w:t>5 处置机制</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81</w:t>
      </w:r>
    </w:p>
    <w:p w:rsidR="007800EB" w:rsidRDefault="007A2333">
      <w:pPr>
        <w:pStyle w:val="30"/>
        <w:tabs>
          <w:tab w:val="right" w:leader="dot" w:pos="8300"/>
        </w:tabs>
        <w:rPr>
          <w:rFonts w:ascii="仿宋" w:eastAsia="仿宋" w:hAnsi="仿宋" w:cs="仿宋"/>
          <w:sz w:val="32"/>
          <w:szCs w:val="32"/>
        </w:rPr>
      </w:pPr>
      <w:hyperlink w:anchor="_Toc4092" w:history="1">
        <w:r w:rsidR="00D67590">
          <w:rPr>
            <w:rFonts w:ascii="仿宋" w:eastAsia="仿宋" w:hAnsi="仿宋" w:cs="仿宋" w:hint="eastAsia"/>
            <w:bCs/>
            <w:sz w:val="32"/>
            <w:szCs w:val="32"/>
          </w:rPr>
          <w:t>5.1 健全部门安全生产应急预案</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81</w:t>
      </w:r>
    </w:p>
    <w:p w:rsidR="007800EB" w:rsidRDefault="007A2333">
      <w:pPr>
        <w:pStyle w:val="30"/>
        <w:tabs>
          <w:tab w:val="right" w:leader="dot" w:pos="8300"/>
        </w:tabs>
        <w:rPr>
          <w:rFonts w:ascii="仿宋" w:eastAsia="仿宋" w:hAnsi="仿宋" w:cs="仿宋"/>
          <w:sz w:val="32"/>
          <w:szCs w:val="32"/>
        </w:rPr>
      </w:pPr>
      <w:hyperlink w:anchor="_Toc31078" w:history="1">
        <w:r w:rsidR="00D67590">
          <w:rPr>
            <w:rFonts w:ascii="仿宋" w:eastAsia="仿宋" w:hAnsi="仿宋" w:cs="仿宋" w:hint="eastAsia"/>
            <w:bCs/>
            <w:sz w:val="32"/>
            <w:szCs w:val="32"/>
          </w:rPr>
          <w:t>5.2 开展应急演练和评估</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82</w:t>
      </w:r>
    </w:p>
    <w:p w:rsidR="007800EB" w:rsidRDefault="007A2333">
      <w:pPr>
        <w:pStyle w:val="30"/>
        <w:tabs>
          <w:tab w:val="right" w:leader="dot" w:pos="8300"/>
        </w:tabs>
        <w:rPr>
          <w:rFonts w:ascii="仿宋" w:eastAsia="仿宋" w:hAnsi="仿宋" w:cs="仿宋"/>
          <w:sz w:val="32"/>
          <w:szCs w:val="32"/>
        </w:rPr>
      </w:pPr>
      <w:hyperlink w:anchor="_Toc28505" w:history="1">
        <w:r w:rsidR="00D67590">
          <w:rPr>
            <w:rFonts w:ascii="仿宋" w:eastAsia="仿宋" w:hAnsi="仿宋" w:cs="仿宋" w:hint="eastAsia"/>
            <w:bCs/>
            <w:sz w:val="32"/>
            <w:szCs w:val="32"/>
          </w:rPr>
          <w:t>5.3 快速有效开展应急处置</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82</w:t>
      </w:r>
    </w:p>
    <w:p w:rsidR="007800EB" w:rsidRDefault="007A2333">
      <w:pPr>
        <w:pStyle w:val="30"/>
        <w:tabs>
          <w:tab w:val="right" w:leader="dot" w:pos="8300"/>
        </w:tabs>
        <w:rPr>
          <w:rFonts w:ascii="仿宋" w:eastAsia="仿宋" w:hAnsi="仿宋" w:cs="仿宋"/>
          <w:sz w:val="32"/>
          <w:szCs w:val="32"/>
        </w:rPr>
      </w:pPr>
      <w:hyperlink w:anchor="_Toc16092" w:history="1">
        <w:r w:rsidR="00D67590">
          <w:rPr>
            <w:rFonts w:ascii="仿宋" w:eastAsia="仿宋" w:hAnsi="仿宋" w:cs="仿宋" w:hint="eastAsia"/>
            <w:bCs/>
            <w:sz w:val="32"/>
            <w:szCs w:val="32"/>
          </w:rPr>
          <w:t>5.4 加强应急保障能力建设</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83</w:t>
      </w:r>
    </w:p>
    <w:p w:rsidR="007800EB" w:rsidRDefault="007A2333">
      <w:pPr>
        <w:pStyle w:val="20"/>
        <w:tabs>
          <w:tab w:val="right" w:leader="dot" w:pos="8300"/>
        </w:tabs>
        <w:rPr>
          <w:rFonts w:ascii="仿宋" w:eastAsia="仿宋" w:hAnsi="仿宋" w:cs="仿宋"/>
          <w:sz w:val="32"/>
          <w:szCs w:val="32"/>
        </w:rPr>
      </w:pPr>
      <w:hyperlink w:anchor="_Toc9327" w:history="1">
        <w:r w:rsidR="00D67590">
          <w:rPr>
            <w:rFonts w:ascii="仿宋" w:eastAsia="仿宋" w:hAnsi="仿宋" w:cs="仿宋" w:hint="eastAsia"/>
            <w:sz w:val="32"/>
            <w:szCs w:val="32"/>
          </w:rPr>
          <w:t>6 责任机制</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84</w:t>
      </w:r>
    </w:p>
    <w:p w:rsidR="007800EB" w:rsidRDefault="007A2333">
      <w:pPr>
        <w:pStyle w:val="30"/>
        <w:tabs>
          <w:tab w:val="right" w:leader="dot" w:pos="8300"/>
        </w:tabs>
        <w:rPr>
          <w:rFonts w:ascii="仿宋" w:eastAsia="仿宋" w:hAnsi="仿宋" w:cs="仿宋"/>
          <w:sz w:val="32"/>
          <w:szCs w:val="32"/>
        </w:rPr>
      </w:pPr>
      <w:hyperlink w:anchor="_Toc32468" w:history="1">
        <w:r w:rsidR="00D67590">
          <w:rPr>
            <w:rFonts w:ascii="仿宋" w:eastAsia="仿宋" w:hAnsi="仿宋" w:cs="仿宋" w:hint="eastAsia"/>
            <w:bCs/>
            <w:sz w:val="32"/>
            <w:szCs w:val="32"/>
          </w:rPr>
          <w:t>6.1 建立党政领导干部职责清单和年度任务清单</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84</w:t>
      </w:r>
    </w:p>
    <w:p w:rsidR="007800EB" w:rsidRDefault="007A2333">
      <w:pPr>
        <w:pStyle w:val="30"/>
        <w:tabs>
          <w:tab w:val="right" w:leader="dot" w:pos="8300"/>
        </w:tabs>
        <w:rPr>
          <w:rFonts w:ascii="仿宋" w:eastAsia="仿宋" w:hAnsi="仿宋" w:cs="仿宋"/>
          <w:sz w:val="32"/>
          <w:szCs w:val="32"/>
        </w:rPr>
      </w:pPr>
      <w:hyperlink w:anchor="_Toc30711" w:history="1">
        <w:r w:rsidR="00D67590">
          <w:rPr>
            <w:rFonts w:ascii="仿宋" w:eastAsia="仿宋" w:hAnsi="仿宋" w:cs="仿宋" w:hint="eastAsia"/>
            <w:bCs/>
            <w:sz w:val="32"/>
            <w:szCs w:val="32"/>
          </w:rPr>
          <w:t>6.2 建立综合监管和专业监管部门年度任务清单</w:t>
        </w:r>
        <w:r w:rsidR="00D67590">
          <w:rPr>
            <w:rFonts w:ascii="仿宋" w:eastAsia="仿宋" w:hAnsi="仿宋" w:cs="仿宋" w:hint="eastAsia"/>
            <w:sz w:val="32"/>
            <w:szCs w:val="32"/>
          </w:rPr>
          <w:tab/>
        </w:r>
      </w:hyperlink>
      <w:r w:rsidR="00D67590">
        <w:rPr>
          <w:rFonts w:ascii="仿宋" w:eastAsia="仿宋" w:hAnsi="仿宋" w:cs="仿宋" w:hint="eastAsia"/>
          <w:sz w:val="32"/>
          <w:szCs w:val="32"/>
        </w:rPr>
        <w:t>84</w:t>
      </w:r>
    </w:p>
    <w:p w:rsidR="007800EB" w:rsidRDefault="007A2333">
      <w:pPr>
        <w:pStyle w:val="30"/>
        <w:tabs>
          <w:tab w:val="right" w:leader="dot" w:pos="8300"/>
        </w:tabs>
        <w:rPr>
          <w:rFonts w:ascii="仿宋" w:eastAsia="仿宋" w:hAnsi="仿宋" w:cs="仿宋"/>
          <w:sz w:val="32"/>
          <w:szCs w:val="32"/>
        </w:rPr>
      </w:pPr>
      <w:hyperlink w:anchor="_Toc13955" w:history="1">
        <w:r w:rsidR="00D67590">
          <w:rPr>
            <w:rFonts w:ascii="仿宋" w:eastAsia="仿宋" w:hAnsi="仿宋" w:cs="仿宋" w:hint="eastAsia"/>
            <w:bCs/>
            <w:sz w:val="32"/>
            <w:szCs w:val="32"/>
          </w:rPr>
          <w:t>6.3 严格安全生产执法处罚</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_Toc13955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84</w:t>
        </w:r>
        <w:r w:rsidR="00D67590">
          <w:rPr>
            <w:rFonts w:ascii="仿宋" w:eastAsia="仿宋" w:hAnsi="仿宋" w:cs="仿宋" w:hint="eastAsia"/>
            <w:sz w:val="32"/>
            <w:szCs w:val="32"/>
          </w:rPr>
          <w:fldChar w:fldCharType="end"/>
        </w:r>
      </w:hyperlink>
    </w:p>
    <w:p w:rsidR="007800EB" w:rsidRDefault="007A2333">
      <w:pPr>
        <w:pStyle w:val="30"/>
        <w:tabs>
          <w:tab w:val="right" w:leader="dot" w:pos="8300"/>
        </w:tabs>
        <w:rPr>
          <w:rFonts w:ascii="仿宋" w:eastAsia="仿宋" w:hAnsi="仿宋" w:cs="仿宋"/>
          <w:sz w:val="32"/>
          <w:szCs w:val="32"/>
        </w:rPr>
      </w:pPr>
      <w:hyperlink w:anchor="_Toc29749" w:history="1">
        <w:r w:rsidR="00D67590">
          <w:rPr>
            <w:rFonts w:ascii="仿宋" w:eastAsia="仿宋" w:hAnsi="仿宋" w:cs="仿宋" w:hint="eastAsia"/>
            <w:bCs/>
            <w:sz w:val="32"/>
            <w:szCs w:val="32"/>
          </w:rPr>
          <w:t>6.4 健全激励约束机制</w:t>
        </w:r>
        <w:r w:rsidR="00D67590">
          <w:rPr>
            <w:rFonts w:ascii="仿宋" w:eastAsia="仿宋" w:hAnsi="仿宋" w:cs="仿宋" w:hint="eastAsia"/>
            <w:sz w:val="32"/>
            <w:szCs w:val="32"/>
          </w:rPr>
          <w:tab/>
        </w:r>
        <w:r w:rsidR="00D67590">
          <w:rPr>
            <w:rFonts w:ascii="仿宋" w:eastAsia="仿宋" w:hAnsi="仿宋" w:cs="仿宋" w:hint="eastAsia"/>
            <w:sz w:val="32"/>
            <w:szCs w:val="32"/>
          </w:rPr>
          <w:fldChar w:fldCharType="begin"/>
        </w:r>
        <w:r w:rsidR="00D67590">
          <w:rPr>
            <w:rFonts w:ascii="仿宋" w:eastAsia="仿宋" w:hAnsi="仿宋" w:cs="仿宋" w:hint="eastAsia"/>
            <w:sz w:val="32"/>
            <w:szCs w:val="32"/>
          </w:rPr>
          <w:instrText xml:space="preserve"> PAGEREF _Toc29749 \h </w:instrText>
        </w:r>
        <w:r w:rsidR="00D67590">
          <w:rPr>
            <w:rFonts w:ascii="仿宋" w:eastAsia="仿宋" w:hAnsi="仿宋" w:cs="仿宋" w:hint="eastAsia"/>
            <w:sz w:val="32"/>
            <w:szCs w:val="32"/>
          </w:rPr>
        </w:r>
        <w:r w:rsidR="00D67590">
          <w:rPr>
            <w:rFonts w:ascii="仿宋" w:eastAsia="仿宋" w:hAnsi="仿宋" w:cs="仿宋" w:hint="eastAsia"/>
            <w:sz w:val="32"/>
            <w:szCs w:val="32"/>
          </w:rPr>
          <w:fldChar w:fldCharType="separate"/>
        </w:r>
        <w:r w:rsidR="00D67590">
          <w:rPr>
            <w:rFonts w:ascii="仿宋" w:eastAsia="仿宋" w:hAnsi="仿宋" w:cs="仿宋" w:hint="eastAsia"/>
            <w:sz w:val="32"/>
            <w:szCs w:val="32"/>
          </w:rPr>
          <w:t>84</w:t>
        </w:r>
        <w:r w:rsidR="00D67590">
          <w:rPr>
            <w:rFonts w:ascii="仿宋" w:eastAsia="仿宋" w:hAnsi="仿宋" w:cs="仿宋" w:hint="eastAsia"/>
            <w:sz w:val="32"/>
            <w:szCs w:val="32"/>
          </w:rPr>
          <w:fldChar w:fldCharType="end"/>
        </w:r>
      </w:hyperlink>
    </w:p>
    <w:p w:rsidR="007800EB" w:rsidRDefault="007A2333">
      <w:pPr>
        <w:pStyle w:val="10"/>
        <w:tabs>
          <w:tab w:val="right" w:leader="dot" w:pos="8300"/>
        </w:tabs>
        <w:rPr>
          <w:rFonts w:ascii="楷体" w:eastAsia="楷体" w:hAnsi="楷体" w:cs="楷体"/>
          <w:sz w:val="32"/>
          <w:szCs w:val="32"/>
        </w:rPr>
      </w:pPr>
      <w:hyperlink w:anchor="_Toc10642" w:history="1">
        <w:r w:rsidR="00D67590">
          <w:rPr>
            <w:rFonts w:ascii="楷体" w:eastAsia="楷体" w:hAnsi="楷体" w:cs="楷体" w:hint="eastAsia"/>
            <w:sz w:val="32"/>
            <w:szCs w:val="32"/>
          </w:rPr>
          <w:t>第六章</w:t>
        </w:r>
        <w:r w:rsidR="00D67590">
          <w:rPr>
            <w:rFonts w:ascii="楷体" w:eastAsia="楷体" w:hAnsi="楷体" w:cs="楷体" w:hint="eastAsia"/>
            <w:sz w:val="32"/>
            <w:szCs w:val="32"/>
            <w:lang w:val="en"/>
          </w:rPr>
          <w:t xml:space="preserve"> </w:t>
        </w:r>
        <w:r w:rsidR="00D67590">
          <w:rPr>
            <w:rFonts w:ascii="楷体" w:eastAsia="楷体" w:hAnsi="楷体" w:cs="楷体" w:hint="eastAsia"/>
            <w:sz w:val="32"/>
            <w:szCs w:val="32"/>
          </w:rPr>
          <w:t>工作要求</w:t>
        </w:r>
        <w:r w:rsidR="00D67590">
          <w:rPr>
            <w:rFonts w:ascii="楷体" w:eastAsia="楷体" w:hAnsi="楷体" w:cs="楷体" w:hint="eastAsia"/>
            <w:sz w:val="32"/>
            <w:szCs w:val="32"/>
          </w:rPr>
          <w:tab/>
        </w:r>
        <w:r w:rsidR="00D67590">
          <w:rPr>
            <w:rFonts w:ascii="楷体" w:eastAsia="楷体" w:hAnsi="楷体" w:cs="楷体" w:hint="eastAsia"/>
            <w:sz w:val="32"/>
            <w:szCs w:val="32"/>
          </w:rPr>
          <w:fldChar w:fldCharType="begin"/>
        </w:r>
        <w:r w:rsidR="00D67590">
          <w:rPr>
            <w:rFonts w:ascii="楷体" w:eastAsia="楷体" w:hAnsi="楷体" w:cs="楷体" w:hint="eastAsia"/>
            <w:sz w:val="32"/>
            <w:szCs w:val="32"/>
          </w:rPr>
          <w:instrText xml:space="preserve"> PAGEREF _Toc10642 \h </w:instrText>
        </w:r>
        <w:r w:rsidR="00D67590">
          <w:rPr>
            <w:rFonts w:ascii="楷体" w:eastAsia="楷体" w:hAnsi="楷体" w:cs="楷体" w:hint="eastAsia"/>
            <w:sz w:val="32"/>
            <w:szCs w:val="32"/>
          </w:rPr>
        </w:r>
        <w:r w:rsidR="00D67590">
          <w:rPr>
            <w:rFonts w:ascii="楷体" w:eastAsia="楷体" w:hAnsi="楷体" w:cs="楷体" w:hint="eastAsia"/>
            <w:sz w:val="32"/>
            <w:szCs w:val="32"/>
          </w:rPr>
          <w:fldChar w:fldCharType="separate"/>
        </w:r>
        <w:r w:rsidR="00D67590">
          <w:rPr>
            <w:rFonts w:ascii="楷体" w:eastAsia="楷体" w:hAnsi="楷体" w:cs="楷体" w:hint="eastAsia"/>
            <w:sz w:val="32"/>
            <w:szCs w:val="32"/>
          </w:rPr>
          <w:t>91</w:t>
        </w:r>
        <w:r w:rsidR="00D67590">
          <w:rPr>
            <w:rFonts w:ascii="楷体" w:eastAsia="楷体" w:hAnsi="楷体" w:cs="楷体" w:hint="eastAsia"/>
            <w:sz w:val="32"/>
            <w:szCs w:val="32"/>
          </w:rPr>
          <w:fldChar w:fldCharType="end"/>
        </w:r>
      </w:hyperlink>
    </w:p>
    <w:p w:rsidR="007800EB" w:rsidRDefault="007A2333">
      <w:pPr>
        <w:pStyle w:val="20"/>
        <w:tabs>
          <w:tab w:val="right" w:leader="dot" w:pos="8300"/>
        </w:tabs>
        <w:rPr>
          <w:rFonts w:ascii="仿宋" w:eastAsia="仿宋" w:hAnsi="仿宋" w:cs="仿宋"/>
          <w:sz w:val="32"/>
          <w:szCs w:val="32"/>
        </w:rPr>
      </w:pPr>
      <w:hyperlink w:anchor="_Toc14555" w:history="1">
        <w:r w:rsidR="00D67590">
          <w:rPr>
            <w:rFonts w:ascii="仿宋" w:eastAsia="仿宋" w:hAnsi="仿宋" w:cs="仿宋" w:hint="eastAsia"/>
            <w:sz w:val="32"/>
            <w:szCs w:val="32"/>
          </w:rPr>
          <w:t>1 强化组织领导</w:t>
        </w:r>
        <w:r w:rsidR="00D67590">
          <w:rPr>
            <w:rFonts w:ascii="仿宋" w:eastAsia="仿宋" w:hAnsi="仿宋" w:cs="仿宋" w:hint="eastAsia"/>
            <w:sz w:val="32"/>
            <w:szCs w:val="32"/>
          </w:rPr>
          <w:tab/>
          <w:t>9</w:t>
        </w:r>
      </w:hyperlink>
      <w:r w:rsidR="00D67590">
        <w:rPr>
          <w:rFonts w:ascii="仿宋" w:eastAsia="仿宋" w:hAnsi="仿宋" w:cs="仿宋" w:hint="eastAsia"/>
          <w:sz w:val="32"/>
          <w:szCs w:val="32"/>
        </w:rPr>
        <w:t>1</w:t>
      </w:r>
    </w:p>
    <w:p w:rsidR="007800EB" w:rsidRDefault="007A2333">
      <w:pPr>
        <w:pStyle w:val="20"/>
        <w:tabs>
          <w:tab w:val="right" w:leader="dot" w:pos="8300"/>
        </w:tabs>
        <w:rPr>
          <w:rFonts w:ascii="仿宋" w:eastAsia="仿宋" w:hAnsi="仿宋" w:cs="仿宋"/>
          <w:sz w:val="32"/>
          <w:szCs w:val="32"/>
        </w:rPr>
      </w:pPr>
      <w:hyperlink w:anchor="_Toc29231" w:history="1">
        <w:r w:rsidR="00D67590">
          <w:rPr>
            <w:rFonts w:ascii="仿宋" w:eastAsia="仿宋" w:hAnsi="仿宋" w:cs="仿宋" w:hint="eastAsia"/>
            <w:sz w:val="32"/>
            <w:szCs w:val="32"/>
            <w:lang w:val="en"/>
          </w:rPr>
          <w:t>2</w:t>
        </w:r>
        <w:r w:rsidR="00D67590">
          <w:rPr>
            <w:rFonts w:ascii="仿宋" w:eastAsia="仿宋" w:hAnsi="仿宋" w:cs="仿宋" w:hint="eastAsia"/>
            <w:sz w:val="32"/>
            <w:szCs w:val="32"/>
          </w:rPr>
          <w:t xml:space="preserve"> 加强督导帮扶</w:t>
        </w:r>
        <w:r w:rsidR="00D67590">
          <w:rPr>
            <w:rFonts w:ascii="仿宋" w:eastAsia="仿宋" w:hAnsi="仿宋" w:cs="仿宋" w:hint="eastAsia"/>
            <w:sz w:val="32"/>
            <w:szCs w:val="32"/>
          </w:rPr>
          <w:tab/>
          <w:t>9</w:t>
        </w:r>
      </w:hyperlink>
      <w:r w:rsidR="00D67590">
        <w:rPr>
          <w:rFonts w:ascii="仿宋" w:eastAsia="仿宋" w:hAnsi="仿宋" w:cs="仿宋" w:hint="eastAsia"/>
          <w:sz w:val="32"/>
          <w:szCs w:val="32"/>
        </w:rPr>
        <w:t>1</w:t>
      </w:r>
    </w:p>
    <w:p w:rsidR="007800EB" w:rsidRDefault="007A2333">
      <w:pPr>
        <w:pStyle w:val="20"/>
        <w:tabs>
          <w:tab w:val="right" w:leader="dot" w:pos="8300"/>
        </w:tabs>
        <w:rPr>
          <w:rFonts w:ascii="仿宋" w:eastAsia="仿宋" w:hAnsi="仿宋" w:cs="仿宋"/>
          <w:sz w:val="32"/>
          <w:szCs w:val="32"/>
        </w:rPr>
      </w:pPr>
      <w:hyperlink w:anchor="_Toc29231" w:history="1">
        <w:r w:rsidR="00D67590">
          <w:rPr>
            <w:rFonts w:ascii="仿宋" w:eastAsia="仿宋" w:hAnsi="仿宋" w:cs="仿宋" w:hint="eastAsia"/>
            <w:sz w:val="32"/>
            <w:szCs w:val="32"/>
          </w:rPr>
          <w:t>3 健全奖惩机制</w:t>
        </w:r>
        <w:r w:rsidR="00D67590">
          <w:rPr>
            <w:rFonts w:ascii="仿宋" w:eastAsia="仿宋" w:hAnsi="仿宋" w:cs="仿宋" w:hint="eastAsia"/>
            <w:sz w:val="32"/>
            <w:szCs w:val="32"/>
          </w:rPr>
          <w:tab/>
          <w:t>9</w:t>
        </w:r>
      </w:hyperlink>
      <w:r w:rsidR="00D67590">
        <w:rPr>
          <w:rFonts w:ascii="仿宋" w:eastAsia="仿宋" w:hAnsi="仿宋" w:cs="仿宋" w:hint="eastAsia"/>
          <w:sz w:val="32"/>
          <w:szCs w:val="32"/>
        </w:rPr>
        <w:t>1</w:t>
      </w:r>
    </w:p>
    <w:p w:rsidR="007800EB" w:rsidRDefault="007A2333">
      <w:pPr>
        <w:pStyle w:val="10"/>
        <w:tabs>
          <w:tab w:val="right" w:leader="dot" w:pos="8300"/>
        </w:tabs>
        <w:rPr>
          <w:rFonts w:ascii="楷体" w:eastAsia="楷体" w:hAnsi="楷体" w:cs="楷体"/>
          <w:sz w:val="32"/>
          <w:szCs w:val="32"/>
        </w:rPr>
      </w:pPr>
      <w:hyperlink w:anchor="_Toc28365" w:history="1">
        <w:r w:rsidR="00D67590">
          <w:rPr>
            <w:rFonts w:ascii="楷体" w:eastAsia="楷体" w:hAnsi="楷体" w:cs="楷体" w:hint="eastAsia"/>
            <w:sz w:val="32"/>
            <w:szCs w:val="32"/>
            <w:lang w:bidi="ar"/>
          </w:rPr>
          <w:t>附件：“六项机制”清单表格和图表示例</w:t>
        </w:r>
        <w:r w:rsidR="00D67590">
          <w:rPr>
            <w:rFonts w:ascii="楷体" w:eastAsia="楷体" w:hAnsi="楷体" w:cs="楷体" w:hint="eastAsia"/>
            <w:sz w:val="32"/>
            <w:szCs w:val="32"/>
          </w:rPr>
          <w:tab/>
        </w:r>
      </w:hyperlink>
      <w:r w:rsidR="00D67590">
        <w:rPr>
          <w:rFonts w:ascii="楷体" w:eastAsia="楷体" w:hAnsi="楷体" w:cs="楷体" w:hint="eastAsia"/>
          <w:sz w:val="32"/>
          <w:szCs w:val="32"/>
        </w:rPr>
        <w:t>93</w:t>
      </w:r>
    </w:p>
    <w:p w:rsidR="007800EB" w:rsidRDefault="00D67590">
      <w:pPr>
        <w:overflowPunct w:val="0"/>
        <w:ind w:firstLineChars="200" w:firstLine="640"/>
        <w:jc w:val="left"/>
        <w:rPr>
          <w:rFonts w:ascii="仿宋" w:eastAsia="仿宋" w:hAnsi="仿宋" w:cs="仿宋"/>
          <w:sz w:val="32"/>
          <w:szCs w:val="32"/>
        </w:rPr>
      </w:pPr>
      <w:r>
        <w:rPr>
          <w:rFonts w:ascii="仿宋" w:eastAsia="仿宋" w:hAnsi="仿宋" w:cs="仿宋" w:hint="eastAsia"/>
          <w:sz w:val="32"/>
          <w:szCs w:val="32"/>
        </w:rPr>
        <w:fldChar w:fldCharType="end"/>
      </w:r>
    </w:p>
    <w:p w:rsidR="007800EB" w:rsidRDefault="007800EB">
      <w:pPr>
        <w:overflowPunct w:val="0"/>
        <w:spacing w:line="600" w:lineRule="exact"/>
        <w:ind w:firstLineChars="200" w:firstLine="640"/>
        <w:jc w:val="left"/>
        <w:rPr>
          <w:rFonts w:ascii="仿宋" w:eastAsia="仿宋" w:hAnsi="仿宋" w:cs="仿宋"/>
          <w:sz w:val="32"/>
          <w:szCs w:val="32"/>
        </w:rPr>
        <w:sectPr w:rsidR="007800EB">
          <w:footerReference w:type="default" r:id="rId8"/>
          <w:pgSz w:w="11906" w:h="16838"/>
          <w:pgMar w:top="1440" w:right="1803" w:bottom="1440" w:left="1803" w:header="851" w:footer="992" w:gutter="0"/>
          <w:cols w:space="720"/>
          <w:docGrid w:type="lines" w:linePitch="312"/>
        </w:sectPr>
      </w:pPr>
    </w:p>
    <w:p w:rsidR="007800EB" w:rsidRDefault="00D67590">
      <w:pPr>
        <w:overflowPunct w:val="0"/>
        <w:spacing w:line="600" w:lineRule="exact"/>
        <w:jc w:val="center"/>
        <w:outlineLvl w:val="0"/>
        <w:rPr>
          <w:rFonts w:ascii="仿宋_GB2312" w:eastAsia="仿宋_GB2312" w:hAnsi="仿宋_GB2312" w:cs="仿宋_GB2312"/>
          <w:sz w:val="32"/>
          <w:szCs w:val="32"/>
        </w:rPr>
      </w:pPr>
      <w:bookmarkStart w:id="7" w:name="_Toc25352"/>
      <w:bookmarkStart w:id="8" w:name="_Toc20360"/>
      <w:r>
        <w:rPr>
          <w:rFonts w:ascii="黑体" w:eastAsia="黑体" w:hAnsi="黑体" w:cs="黑体" w:hint="eastAsia"/>
          <w:sz w:val="32"/>
          <w:szCs w:val="32"/>
        </w:rPr>
        <w:lastRenderedPageBreak/>
        <w:t>第一章 总则</w:t>
      </w:r>
      <w:bookmarkEnd w:id="7"/>
      <w:bookmarkEnd w:id="8"/>
    </w:p>
    <w:p w:rsidR="007800EB" w:rsidRDefault="007800EB">
      <w:pPr>
        <w:overflowPunct w:val="0"/>
        <w:spacing w:line="600" w:lineRule="exact"/>
        <w:ind w:firstLine="641"/>
        <w:outlineLvl w:val="1"/>
        <w:rPr>
          <w:rFonts w:ascii="黑体" w:eastAsia="黑体" w:hAnsi="黑体" w:cs="黑体"/>
          <w:sz w:val="32"/>
          <w:szCs w:val="32"/>
        </w:rPr>
      </w:pPr>
      <w:bookmarkStart w:id="9" w:name="_Toc14555"/>
      <w:bookmarkStart w:id="10" w:name="_Toc2110"/>
    </w:p>
    <w:p w:rsidR="007800EB" w:rsidRDefault="00D67590">
      <w:pPr>
        <w:overflowPunct w:val="0"/>
        <w:spacing w:line="600" w:lineRule="exact"/>
        <w:ind w:firstLine="641"/>
        <w:outlineLvl w:val="1"/>
        <w:rPr>
          <w:rFonts w:ascii="黑体" w:eastAsia="黑体" w:hAnsi="黑体" w:cs="黑体"/>
          <w:sz w:val="32"/>
          <w:szCs w:val="32"/>
        </w:rPr>
      </w:pPr>
      <w:r>
        <w:rPr>
          <w:rFonts w:ascii="黑体" w:eastAsia="黑体" w:hAnsi="黑体" w:cs="黑体" w:hint="eastAsia"/>
          <w:sz w:val="32"/>
          <w:szCs w:val="32"/>
        </w:rPr>
        <w:t>1 适用范围</w:t>
      </w:r>
      <w:bookmarkEnd w:id="9"/>
      <w:bookmarkEnd w:id="1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本指南适用于各类水利生产经营单位和各级水行政主管部门开展水利安全生产风险管控“六项机制”（以下简称“六项机制”）工作。</w:t>
      </w:r>
    </w:p>
    <w:p w:rsidR="007800EB" w:rsidRDefault="00D67590">
      <w:pPr>
        <w:overflowPunct w:val="0"/>
        <w:spacing w:line="600" w:lineRule="exact"/>
        <w:ind w:firstLine="641"/>
        <w:outlineLvl w:val="1"/>
        <w:rPr>
          <w:rFonts w:ascii="黑体" w:eastAsia="黑体" w:hAnsi="黑体" w:cs="黑体"/>
          <w:sz w:val="32"/>
          <w:szCs w:val="32"/>
        </w:rPr>
      </w:pPr>
      <w:bookmarkStart w:id="11" w:name="_Toc29366"/>
      <w:bookmarkStart w:id="12" w:name="_Toc29231"/>
      <w:r>
        <w:rPr>
          <w:rFonts w:ascii="黑体" w:eastAsia="黑体" w:hAnsi="黑体" w:cs="黑体"/>
          <w:sz w:val="32"/>
          <w:szCs w:val="32"/>
          <w:lang w:val="en"/>
        </w:rPr>
        <w:t>2</w:t>
      </w:r>
      <w:r>
        <w:rPr>
          <w:rFonts w:ascii="黑体" w:eastAsia="黑体" w:hAnsi="黑体" w:cs="黑体" w:hint="eastAsia"/>
          <w:sz w:val="32"/>
          <w:szCs w:val="32"/>
        </w:rPr>
        <w:t xml:space="preserve"> 责任主体</w:t>
      </w:r>
      <w:bookmarkEnd w:id="11"/>
      <w:bookmarkEnd w:id="12"/>
    </w:p>
    <w:p w:rsidR="007800EB" w:rsidRDefault="00D67590">
      <w:pPr>
        <w:overflowPunct w:val="0"/>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2.1 水利生产经营单位</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各类水利生产经营单位负责开展本单位“六项机制”工作。水利生产经营单位包括水利工程建设项目法人、水利勘测设计、水利监理、水利施工、水利检测，水利工程运行管理，</w:t>
      </w:r>
      <w:r>
        <w:rPr>
          <w:rFonts w:ascii="仿宋_GB2312" w:eastAsia="仿宋_GB2312" w:hAnsi="仿宋_GB2312" w:cs="仿宋_GB2312"/>
          <w:sz w:val="32"/>
          <w:szCs w:val="32"/>
        </w:rPr>
        <w:t>水文监测</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水利科研与检验</w:t>
      </w:r>
      <w:r>
        <w:rPr>
          <w:rFonts w:ascii="仿宋_GB2312" w:eastAsia="仿宋_GB2312" w:hAnsi="仿宋_GB2312" w:cs="仿宋_GB2312" w:hint="eastAsia"/>
          <w:sz w:val="32"/>
          <w:szCs w:val="32"/>
        </w:rPr>
        <w:t>、水利后勤保障等单位。</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val="en"/>
        </w:rPr>
        <w:t>水</w:t>
      </w:r>
      <w:r>
        <w:rPr>
          <w:rFonts w:ascii="仿宋_GB2312" w:eastAsia="仿宋_GB2312" w:hAnsi="仿宋_GB2312" w:cs="仿宋_GB2312" w:hint="eastAsia"/>
          <w:sz w:val="32"/>
          <w:szCs w:val="32"/>
        </w:rPr>
        <w:t>利工程建设以项目为单元开展“六项机制”工作，项目法人组织工程勘测设计、监理、施工、检测等参建单位现场管理机构开展“六项机制”工作。</w:t>
      </w:r>
    </w:p>
    <w:p w:rsidR="007800EB" w:rsidRDefault="00D67590">
      <w:pPr>
        <w:pStyle w:val="a0"/>
        <w:spacing w:line="600" w:lineRule="exact"/>
        <w:ind w:firstLine="640"/>
      </w:pPr>
      <w:r>
        <w:rPr>
          <w:rFonts w:ascii="仿宋_GB2312" w:eastAsia="仿宋_GB2312" w:hAnsi="仿宋_GB2312" w:cs="仿宋_GB2312" w:hint="eastAsia"/>
          <w:sz w:val="32"/>
          <w:szCs w:val="32"/>
        </w:rPr>
        <w:t>水利部直属单位按照水利生产经营单位要求组织管辖范围内所有单位开展“六项机制”工作。</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水利生产经营单位所属的其他行业领域生产经营单位可参照执行。</w:t>
      </w:r>
    </w:p>
    <w:p w:rsidR="007800EB" w:rsidRDefault="00D67590">
      <w:pPr>
        <w:overflowPunct w:val="0"/>
        <w:spacing w:line="600" w:lineRule="exact"/>
        <w:ind w:firstLineChars="200" w:firstLine="640"/>
        <w:rPr>
          <w:rFonts w:ascii="楷体" w:eastAsia="楷体" w:hAnsi="楷体" w:cs="楷体"/>
          <w:sz w:val="32"/>
          <w:szCs w:val="32"/>
          <w:lang w:val="en"/>
        </w:rPr>
      </w:pPr>
      <w:r>
        <w:rPr>
          <w:rFonts w:ascii="楷体" w:eastAsia="楷体" w:hAnsi="楷体" w:cs="楷体" w:hint="eastAsia"/>
          <w:sz w:val="32"/>
          <w:szCs w:val="32"/>
        </w:rPr>
        <w:t>2.2 水行政主管部门</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2.2.1 水利部负责全国“六项机制”的组织部署、统筹协调和监督指导。</w:t>
      </w:r>
    </w:p>
    <w:p w:rsidR="007800EB" w:rsidRDefault="00D67590">
      <w:pPr>
        <w:overflowPunct w:val="0"/>
        <w:spacing w:line="600" w:lineRule="exact"/>
        <w:ind w:firstLineChars="200" w:firstLine="640"/>
        <w:rPr>
          <w:rFonts w:ascii="仿宋_GB2312" w:eastAsia="仿宋_GB2312" w:hAnsi="仿宋_GB2312" w:cs="仿宋_GB2312"/>
          <w:sz w:val="36"/>
          <w:szCs w:val="36"/>
        </w:rPr>
      </w:pPr>
      <w:r>
        <w:rPr>
          <w:rFonts w:ascii="仿宋_GB2312" w:eastAsia="仿宋_GB2312" w:hAnsi="仿宋_GB2312" w:cs="仿宋_GB2312" w:hint="eastAsia"/>
          <w:sz w:val="32"/>
          <w:szCs w:val="32"/>
        </w:rPr>
        <w:t>水利部流域管理机构（以下简称流域管理机构）根据水</w:t>
      </w:r>
      <w:r>
        <w:rPr>
          <w:rFonts w:ascii="仿宋_GB2312" w:eastAsia="仿宋_GB2312" w:hAnsi="仿宋_GB2312" w:cs="仿宋_GB2312" w:hint="eastAsia"/>
          <w:sz w:val="32"/>
          <w:szCs w:val="32"/>
        </w:rPr>
        <w:lastRenderedPageBreak/>
        <w:t>利部授权，监督指导流域内各省（自治区、直辖市）开展“六项机制”工作。</w:t>
      </w:r>
    </w:p>
    <w:p w:rsidR="007800EB" w:rsidRDefault="00D67590">
      <w:pPr>
        <w:overflowPunct w:val="0"/>
        <w:spacing w:line="600" w:lineRule="exact"/>
        <w:ind w:firstLineChars="200" w:firstLine="640"/>
        <w:rPr>
          <w:rFonts w:ascii="仿宋_GB2312" w:eastAsia="仿宋_GB2312" w:hAnsi="仿宋_GB2312" w:cs="仿宋_GB2312"/>
          <w:sz w:val="32"/>
          <w:szCs w:val="32"/>
        </w:rPr>
        <w:sectPr w:rsidR="007800EB">
          <w:footerReference w:type="default" r:id="rId9"/>
          <w:pgSz w:w="11906" w:h="16838"/>
          <w:pgMar w:top="1440" w:right="1803" w:bottom="1440" w:left="1803" w:header="851" w:footer="992" w:gutter="0"/>
          <w:pgNumType w:start="1"/>
          <w:cols w:space="720"/>
          <w:docGrid w:type="lines" w:linePitch="319"/>
        </w:sectPr>
      </w:pPr>
      <w:r>
        <w:rPr>
          <w:rFonts w:ascii="仿宋_GB2312" w:eastAsia="仿宋_GB2312" w:hAnsi="仿宋_GB2312" w:cs="仿宋_GB2312" w:hint="eastAsia"/>
          <w:sz w:val="32"/>
          <w:szCs w:val="32"/>
        </w:rPr>
        <w:t>2.2.2 地方各级水行政主管部门负责组织本地区开展“六项机制”工作，监督指导下级水行政主管部门和管辖范围内水利生产经营单位开展“六项机制”工作。</w:t>
      </w:r>
    </w:p>
    <w:p w:rsidR="007800EB" w:rsidRDefault="007800EB">
      <w:pPr>
        <w:overflowPunct w:val="0"/>
        <w:spacing w:line="600" w:lineRule="exact"/>
      </w:pPr>
      <w:bookmarkStart w:id="13" w:name="_Toc24733"/>
    </w:p>
    <w:p w:rsidR="007800EB" w:rsidRDefault="00D67590">
      <w:pPr>
        <w:overflowPunct w:val="0"/>
        <w:rPr>
          <w:lang w:val="en"/>
        </w:rPr>
      </w:pPr>
      <w:r>
        <w:rPr>
          <w:noProof/>
        </w:rPr>
        <w:drawing>
          <wp:inline distT="0" distB="0" distL="0" distR="0" wp14:anchorId="1127A885" wp14:editId="3978ACF1">
            <wp:extent cx="5473700" cy="7200900"/>
            <wp:effectExtent l="0" t="0" r="0" b="0"/>
            <wp:docPr id="1" name="图片 78" descr="六项机制总图（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8" descr="六项机制总图（企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3700" cy="7200900"/>
                    </a:xfrm>
                    <a:prstGeom prst="rect">
                      <a:avLst/>
                    </a:prstGeom>
                    <a:noFill/>
                    <a:ln>
                      <a:noFill/>
                    </a:ln>
                  </pic:spPr>
                </pic:pic>
              </a:graphicData>
            </a:graphic>
          </wp:inline>
        </w:drawing>
      </w:r>
    </w:p>
    <w:p w:rsidR="007800EB" w:rsidRDefault="007800EB">
      <w:pPr>
        <w:pStyle w:val="a0"/>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footerReference w:type="default" r:id="rId11"/>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 xml:space="preserve">图1 </w:t>
      </w:r>
      <w:r>
        <w:rPr>
          <w:rFonts w:ascii="仿宋_GB2312" w:eastAsia="仿宋_GB2312" w:hAnsi="仿宋_GB2312" w:cs="仿宋_GB2312" w:hint="eastAsia"/>
          <w:b/>
          <w:bCs/>
          <w:sz w:val="32"/>
          <w:szCs w:val="32"/>
        </w:rPr>
        <w:t>水利生产经营单位“</w:t>
      </w:r>
      <w:r>
        <w:rPr>
          <w:rFonts w:ascii="仿宋_GB2312" w:eastAsia="仿宋_GB2312" w:hAnsi="仿宋_GB2312" w:cs="仿宋_GB2312" w:hint="eastAsia"/>
          <w:b/>
          <w:bCs/>
          <w:kern w:val="2"/>
          <w:sz w:val="32"/>
          <w:szCs w:val="32"/>
        </w:rPr>
        <w:t>六项机制</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kern w:val="2"/>
          <w:sz w:val="32"/>
          <w:szCs w:val="32"/>
        </w:rPr>
        <w:t>工作内容总</w:t>
      </w:r>
      <w:proofErr w:type="gramStart"/>
      <w:r>
        <w:rPr>
          <w:rFonts w:ascii="仿宋_GB2312" w:eastAsia="仿宋_GB2312" w:hAnsi="仿宋_GB2312" w:cs="仿宋_GB2312" w:hint="eastAsia"/>
          <w:b/>
          <w:bCs/>
          <w:kern w:val="2"/>
          <w:sz w:val="32"/>
          <w:szCs w:val="32"/>
        </w:rPr>
        <w:t>览</w:t>
      </w:r>
      <w:proofErr w:type="gramEnd"/>
      <w:r>
        <w:rPr>
          <w:rFonts w:ascii="仿宋_GB2312" w:eastAsia="仿宋_GB2312" w:hAnsi="仿宋_GB2312" w:cs="仿宋_GB2312" w:hint="eastAsia"/>
          <w:b/>
          <w:bCs/>
          <w:kern w:val="2"/>
          <w:sz w:val="32"/>
          <w:szCs w:val="32"/>
        </w:rPr>
        <w:t>图</w:t>
      </w:r>
    </w:p>
    <w:p w:rsidR="007800EB" w:rsidRDefault="007800EB">
      <w:pPr>
        <w:overflowPunct w:val="0"/>
        <w:spacing w:line="600" w:lineRule="exact"/>
      </w:pPr>
    </w:p>
    <w:p w:rsidR="007800EB" w:rsidRDefault="007800EB">
      <w:pPr>
        <w:pStyle w:val="a0"/>
        <w:spacing w:line="600" w:lineRule="exact"/>
      </w:pPr>
    </w:p>
    <w:p w:rsidR="007800EB" w:rsidRDefault="00D67590">
      <w:pPr>
        <w:pStyle w:val="a0"/>
        <w:ind w:firstLineChars="0" w:firstLine="0"/>
        <w:jc w:val="center"/>
        <w:rPr>
          <w:rFonts w:ascii="仿宋_GB2312" w:eastAsia="仿宋_GB2312" w:hAnsi="仿宋_GB2312" w:cs="仿宋_GB2312"/>
          <w:kern w:val="2"/>
          <w:sz w:val="32"/>
          <w:szCs w:val="32"/>
          <w:lang w:val="en"/>
        </w:rPr>
      </w:pPr>
      <w:r>
        <w:rPr>
          <w:rFonts w:ascii="仿宋_GB2312" w:eastAsia="仿宋_GB2312" w:hAnsi="仿宋_GB2312" w:cs="仿宋_GB2312"/>
          <w:noProof/>
          <w:kern w:val="2"/>
          <w:sz w:val="32"/>
          <w:szCs w:val="32"/>
        </w:rPr>
        <w:drawing>
          <wp:inline distT="0" distB="0" distL="114300" distR="114300" wp14:anchorId="658F5CFC" wp14:editId="47EF1BAB">
            <wp:extent cx="5505450" cy="5760085"/>
            <wp:effectExtent l="0" t="0" r="0" b="12065"/>
            <wp:docPr id="32" name="图片 32" descr="六项机制总图（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六项机制总图（部门）"/>
                    <pic:cNvPicPr>
                      <a:picLocks noChangeAspect="1"/>
                    </pic:cNvPicPr>
                  </pic:nvPicPr>
                  <pic:blipFill>
                    <a:blip r:embed="rId12"/>
                    <a:stretch>
                      <a:fillRect/>
                    </a:stretch>
                  </pic:blipFill>
                  <pic:spPr>
                    <a:xfrm>
                      <a:off x="0" y="0"/>
                      <a:ext cx="5505450" cy="5760085"/>
                    </a:xfrm>
                    <a:prstGeom prst="rect">
                      <a:avLst/>
                    </a:prstGeom>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footerReference w:type="default" r:id="rId13"/>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图2 水行政主管部门“六项机制”工作内容总</w:t>
      </w:r>
      <w:proofErr w:type="gramStart"/>
      <w:r>
        <w:rPr>
          <w:rFonts w:ascii="仿宋_GB2312" w:eastAsia="仿宋_GB2312" w:hAnsi="仿宋_GB2312" w:cs="仿宋_GB2312" w:hint="eastAsia"/>
          <w:b/>
          <w:bCs/>
          <w:kern w:val="2"/>
          <w:sz w:val="32"/>
          <w:szCs w:val="32"/>
        </w:rPr>
        <w:t>览</w:t>
      </w:r>
      <w:proofErr w:type="gramEnd"/>
      <w:r>
        <w:rPr>
          <w:rFonts w:ascii="仿宋_GB2312" w:eastAsia="仿宋_GB2312" w:hAnsi="仿宋_GB2312" w:cs="仿宋_GB2312" w:hint="eastAsia"/>
          <w:b/>
          <w:bCs/>
          <w:kern w:val="2"/>
          <w:sz w:val="32"/>
          <w:szCs w:val="32"/>
        </w:rPr>
        <w:t>图</w:t>
      </w:r>
    </w:p>
    <w:p w:rsidR="007800EB" w:rsidRDefault="00D67590">
      <w:pPr>
        <w:overflowPunct w:val="0"/>
        <w:spacing w:line="600" w:lineRule="exact"/>
        <w:jc w:val="center"/>
        <w:outlineLvl w:val="0"/>
        <w:rPr>
          <w:rFonts w:ascii="仿宋_GB2312" w:eastAsia="仿宋_GB2312" w:hAnsi="仿宋_GB2312" w:cs="仿宋_GB2312"/>
          <w:sz w:val="32"/>
          <w:szCs w:val="32"/>
        </w:rPr>
      </w:pPr>
      <w:bookmarkStart w:id="14" w:name="_Toc16441"/>
      <w:r>
        <w:rPr>
          <w:rFonts w:ascii="黑体" w:eastAsia="黑体" w:hAnsi="黑体" w:cs="黑体" w:hint="eastAsia"/>
          <w:sz w:val="32"/>
          <w:szCs w:val="32"/>
        </w:rPr>
        <w:lastRenderedPageBreak/>
        <w:t>第二章 水利工程建设项目“</w:t>
      </w:r>
      <w:r>
        <w:rPr>
          <w:rFonts w:ascii="宋体" w:eastAsia="黑体" w:hAnsi="宋体" w:cs="黑体" w:hint="eastAsia"/>
          <w:sz w:val="32"/>
          <w:szCs w:val="32"/>
        </w:rPr>
        <w:t>六项机制”工作要求</w:t>
      </w:r>
      <w:bookmarkEnd w:id="14"/>
    </w:p>
    <w:p w:rsidR="007800EB" w:rsidRDefault="007800EB">
      <w:pPr>
        <w:overflowPunct w:val="0"/>
        <w:spacing w:line="600" w:lineRule="exact"/>
        <w:ind w:firstLine="641"/>
        <w:outlineLvl w:val="1"/>
        <w:rPr>
          <w:rFonts w:ascii="黑体" w:eastAsia="黑体" w:hAnsi="黑体" w:cs="黑体"/>
          <w:sz w:val="32"/>
          <w:szCs w:val="32"/>
          <w:lang w:val="en"/>
        </w:rPr>
      </w:pPr>
      <w:bookmarkStart w:id="15" w:name="_Toc6711"/>
    </w:p>
    <w:p w:rsidR="007800EB" w:rsidRDefault="00D67590">
      <w:pPr>
        <w:overflowPunct w:val="0"/>
        <w:spacing w:line="600" w:lineRule="exact"/>
        <w:ind w:firstLine="641"/>
        <w:outlineLvl w:val="1"/>
        <w:rPr>
          <w:rFonts w:ascii="黑体" w:eastAsia="黑体" w:hAnsi="黑体" w:cs="黑体"/>
          <w:sz w:val="32"/>
          <w:szCs w:val="32"/>
          <w:lang w:val="en"/>
        </w:rPr>
      </w:pPr>
      <w:r>
        <w:rPr>
          <w:rFonts w:ascii="黑体" w:eastAsia="黑体" w:hAnsi="黑体" w:cs="黑体"/>
          <w:sz w:val="32"/>
          <w:szCs w:val="32"/>
          <w:lang w:val="en"/>
        </w:rPr>
        <w:t>1 查找机制</w:t>
      </w:r>
      <w:bookmarkEnd w:id="15"/>
    </w:p>
    <w:p w:rsidR="007800EB" w:rsidRDefault="00D67590">
      <w:pPr>
        <w:overflowPunct w:val="0"/>
        <w:spacing w:line="600" w:lineRule="exact"/>
        <w:ind w:firstLineChars="200" w:firstLine="640"/>
        <w:outlineLvl w:val="2"/>
        <w:rPr>
          <w:rFonts w:ascii="楷体" w:eastAsia="楷体" w:hAnsi="楷体" w:cs="楷体"/>
          <w:color w:val="FF0000"/>
          <w:sz w:val="32"/>
          <w:szCs w:val="32"/>
        </w:rPr>
      </w:pPr>
      <w:bookmarkStart w:id="16" w:name="_Toc26969"/>
      <w:r>
        <w:rPr>
          <w:rFonts w:ascii="楷体" w:eastAsia="楷体" w:hAnsi="楷体" w:cs="楷体" w:hint="eastAsia"/>
          <w:sz w:val="32"/>
          <w:szCs w:val="32"/>
        </w:rPr>
        <w:t>1.1 建立安全风险分级管控制度</w:t>
      </w:r>
      <w:bookmarkEnd w:id="1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水利工程建设项目法人应组织工程勘测设计、监理、施工、检测等参建单位现场管理机构建立本项目安全风险分级管控制度，明确危险源辨识、风险评价、风险预警、风险管控的程序、方法、频次和责任等。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新开工水利工程建设项目应在开工前制定该制度，已开工建设项目应按照要求及时补充完善相关制度。</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17" w:name="_Toc10316"/>
      <w:r>
        <w:rPr>
          <w:rFonts w:ascii="楷体" w:eastAsia="楷体" w:hAnsi="楷体" w:cs="楷体" w:hint="eastAsia"/>
          <w:sz w:val="32"/>
          <w:szCs w:val="32"/>
        </w:rPr>
        <w:t>1.2 开展危险源辨识</w:t>
      </w:r>
      <w:bookmarkEnd w:id="1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1.2.1 危险源辨识应确定危险源名称、所在位置、类别、级别、事故诱因、可能导致的后果。</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1.2.2 危险源辨识对象与范围应覆盖本项目所有区域、场所、部位和直接关联的外部环境；覆盖生产经营活动的所有工艺流程、设施、设备、工作面和管理体系；覆盖参与生产经营活动的所有部门、岗位和人员，以及生产经营活动涉及的所有危险物品。</w:t>
      </w:r>
    </w:p>
    <w:p w:rsidR="007800EB" w:rsidRDefault="00D67590">
      <w:pPr>
        <w:overflowPunct w:val="0"/>
        <w:spacing w:line="600" w:lineRule="exact"/>
        <w:ind w:firstLineChars="200" w:firstLine="640"/>
        <w:rPr>
          <w:rFonts w:ascii="仿宋_GB2312" w:eastAsia="仿宋_GB2312" w:hAnsi="仿宋_GB2312" w:cs="仿宋_GB2312"/>
          <w:sz w:val="32"/>
          <w:szCs w:val="32"/>
          <w:lang w:val="en"/>
        </w:rPr>
      </w:pPr>
      <w:r>
        <w:rPr>
          <w:rFonts w:ascii="仿宋_GB2312" w:eastAsia="仿宋_GB2312" w:hAnsi="仿宋_GB2312" w:cs="仿宋_GB2312" w:hint="eastAsia"/>
          <w:sz w:val="32"/>
          <w:szCs w:val="32"/>
        </w:rPr>
        <w:t>应将外委、外包、外租等项目、工作、场所纳入危险源辨识范围。</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1.2.3 危险源辨识可采取直接判定法、安全检查表法、预先危险性分析法及因果分析法等方法。应优先采用直接判定法，不能用直接判定法辨识的，可采用其他方法进行判定。</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水利工程建设项目法人应组织各参建单位按照水利部印发的《水利水电工程施工危险源辨识与风险评价导则（试行）》进行辨识。</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1.2.4 新开工水利工程建设项目，在项目开工前，项目法人应组织各参建单位全面开展一次危险源辨识及风险评价工作。各施工单位应开展各自标段的危险源辨识及风险评价工作，将结果及时报送项目法人和监理单位审核。</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已开工水利工程建设项目，各标段施工单位应按照制度规定开展各自标段的危险源辨识及风险评价工作，将结果及时报送项目法人和监理单位审核。</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18" w:name="_Toc23386"/>
      <w:r>
        <w:rPr>
          <w:rFonts w:ascii="楷体" w:eastAsia="楷体" w:hAnsi="楷体" w:cs="楷体" w:hint="eastAsia"/>
          <w:sz w:val="32"/>
          <w:szCs w:val="32"/>
        </w:rPr>
        <w:t>1.3 建立危险源清单</w:t>
      </w:r>
      <w:bookmarkEnd w:id="18"/>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水利工程建设项目由项目法人统一编制本工程危险源清单（见附件A.1），包括危险源名称、类别、位置、级别、事故诱因、可能导致的后果等。</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19" w:name="_Toc21420"/>
      <w:r>
        <w:rPr>
          <w:rFonts w:ascii="楷体" w:eastAsia="楷体" w:hAnsi="楷体" w:cs="楷体" w:hint="eastAsia"/>
          <w:sz w:val="32"/>
          <w:szCs w:val="32"/>
        </w:rPr>
        <w:t>1.4 动态辨识</w:t>
      </w:r>
      <w:bookmarkEnd w:id="19"/>
    </w:p>
    <w:p w:rsidR="007800EB" w:rsidRDefault="00D67590">
      <w:pPr>
        <w:overflowPunct w:val="0"/>
        <w:spacing w:line="600" w:lineRule="exact"/>
        <w:ind w:firstLineChars="200" w:firstLine="640"/>
        <w:rPr>
          <w:rFonts w:ascii="仿宋_GB2312" w:eastAsia="仿宋_GB2312" w:hAnsi="仿宋_GB2312" w:cs="仿宋_GB2312"/>
          <w:sz w:val="32"/>
          <w:szCs w:val="32"/>
          <w:highlight w:val="yellow"/>
        </w:rPr>
      </w:pPr>
      <w:r>
        <w:rPr>
          <w:rFonts w:ascii="仿宋_GB2312" w:hAnsi="仿宋_GB2312" w:hint="eastAsia"/>
          <w:sz w:val="32"/>
          <w:szCs w:val="32"/>
        </w:rPr>
        <w:t xml:space="preserve">1.4.1 </w:t>
      </w:r>
      <w:r>
        <w:rPr>
          <w:rFonts w:ascii="仿宋_GB2312" w:eastAsia="仿宋_GB2312" w:hAnsi="仿宋_GB2312" w:cs="仿宋_GB2312" w:hint="eastAsia"/>
          <w:sz w:val="32"/>
          <w:szCs w:val="32"/>
        </w:rPr>
        <w:t>水利工程建设项目施工期，施工单位应根据本工程建设项目安全风险分级管控制度确定的危险源辨识周期和施工进展情况对危险源实施动态辨识，</w:t>
      </w:r>
      <w:r w:rsidRPr="00D77CAD">
        <w:rPr>
          <w:rFonts w:ascii="仿宋_GB2312" w:eastAsia="仿宋_GB2312" w:hAnsi="仿宋_GB2312" w:cs="仿宋_GB2312" w:hint="eastAsia"/>
          <w:sz w:val="32"/>
          <w:szCs w:val="32"/>
          <w:highlight w:val="yellow"/>
        </w:rPr>
        <w:t>动态辨识每季度应至少开展一次</w:t>
      </w:r>
      <w:r>
        <w:rPr>
          <w:rFonts w:ascii="仿宋_GB2312" w:eastAsia="仿宋_GB2312" w:hAnsi="仿宋_GB2312" w:cs="仿宋_GB2312" w:hint="eastAsia"/>
          <w:sz w:val="32"/>
          <w:szCs w:val="32"/>
        </w:rPr>
        <w:t>。达到或超过一定规模的危险性较大单项工程施工过程中，应结合实际适时组织动态辨识，</w:t>
      </w:r>
      <w:r w:rsidRPr="00D77CAD">
        <w:rPr>
          <w:rFonts w:ascii="仿宋_GB2312" w:eastAsia="仿宋_GB2312" w:hAnsi="仿宋_GB2312" w:cs="仿宋_GB2312" w:hint="eastAsia"/>
          <w:sz w:val="32"/>
          <w:szCs w:val="32"/>
          <w:highlight w:val="yellow"/>
        </w:rPr>
        <w:t>施工时间少于3个月的，应至少开展一次辨识</w:t>
      </w:r>
      <w:bookmarkStart w:id="20" w:name="_GoBack"/>
      <w:bookmarkEnd w:id="20"/>
      <w:r>
        <w:rPr>
          <w:rFonts w:ascii="仿宋_GB2312" w:eastAsia="仿宋_GB2312" w:hAnsi="仿宋_GB2312" w:cs="仿宋_GB2312" w:hint="eastAsia"/>
          <w:sz w:val="32"/>
          <w:szCs w:val="32"/>
        </w:rPr>
        <w:t>。动态辨识结果及时报项目法人和监理单位现场管理机构。</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1.4.2 发生下列情形时，应及时组织重新辨识：</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①相关法律法规、技术标准发布（修订）。</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②施工条件、构（建）筑物、机械设备、金属结构、设施场所、作业活动、作业环境、生产工艺、管理体系等相关要素发生较大变化。</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③发生生产安全事故。</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④对首次采用尚无相关技术标准的新技术、新材料、新设备、新工艺的部位或单项工程。</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⑤上级主管部门监督检查中发现新的重大风险危险源。</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21" w:name="_Toc21169"/>
      <w:r>
        <w:rPr>
          <w:rFonts w:ascii="方正黑体_GBK" w:eastAsia="方正黑体_GBK" w:hAnsi="方正黑体_GBK" w:cs="方正黑体_GBK" w:hint="eastAsia"/>
          <w:sz w:val="32"/>
          <w:szCs w:val="32"/>
        </w:rPr>
        <w:t xml:space="preserve">2 </w:t>
      </w:r>
      <w:proofErr w:type="gramStart"/>
      <w:r>
        <w:rPr>
          <w:rFonts w:ascii="方正黑体_GBK" w:eastAsia="方正黑体_GBK" w:hAnsi="方正黑体_GBK" w:cs="方正黑体_GBK" w:hint="eastAsia"/>
          <w:sz w:val="32"/>
          <w:szCs w:val="32"/>
        </w:rPr>
        <w:t>研</w:t>
      </w:r>
      <w:proofErr w:type="gramEnd"/>
      <w:r>
        <w:rPr>
          <w:rFonts w:ascii="方正黑体_GBK" w:eastAsia="方正黑体_GBK" w:hAnsi="方正黑体_GBK" w:cs="方正黑体_GBK" w:hint="eastAsia"/>
          <w:sz w:val="32"/>
          <w:szCs w:val="32"/>
        </w:rPr>
        <w:t>判机制</w:t>
      </w:r>
      <w:bookmarkEnd w:id="21"/>
    </w:p>
    <w:p w:rsidR="007800EB" w:rsidRDefault="00D67590">
      <w:pPr>
        <w:overflowPunct w:val="0"/>
        <w:spacing w:line="600" w:lineRule="exact"/>
        <w:ind w:firstLineChars="200" w:firstLine="640"/>
        <w:outlineLvl w:val="2"/>
        <w:rPr>
          <w:rFonts w:ascii="楷体" w:eastAsia="楷体" w:hAnsi="楷体" w:cs="楷体"/>
          <w:sz w:val="32"/>
          <w:szCs w:val="32"/>
        </w:rPr>
      </w:pPr>
      <w:bookmarkStart w:id="22" w:name="_Toc2146"/>
      <w:r>
        <w:rPr>
          <w:rFonts w:ascii="楷体" w:eastAsia="楷体" w:hAnsi="楷体" w:cs="楷体" w:hint="eastAsia"/>
          <w:sz w:val="32"/>
          <w:szCs w:val="32"/>
        </w:rPr>
        <w:t>2.1 评价风险等级</w:t>
      </w:r>
      <w:bookmarkEnd w:id="22"/>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2.1.1 水利工程建设项目法人应组织参建单位对所辨识危险源的风险等级逐一进行评价。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2.1.2 危险源的风险等级由高到低依次为重大风险、较大风险、一般风险和低风险四个等级。重大危险源的风险等级直接评定为重大风险；一般危险源可以采用作业条件危险性分析法（LEC）、安全检查表法等方法进行分析判定，推荐使用LEC法。一般危险源风险评价</w:t>
      </w:r>
      <w:proofErr w:type="gramStart"/>
      <w:r>
        <w:rPr>
          <w:rFonts w:ascii="仿宋_GB2312" w:eastAsia="仿宋_GB2312" w:hAnsi="仿宋_GB2312" w:cs="仿宋_GB2312" w:hint="eastAsia"/>
          <w:sz w:val="32"/>
          <w:szCs w:val="32"/>
        </w:rPr>
        <w:t>打分表</w:t>
      </w:r>
      <w:proofErr w:type="gramEnd"/>
      <w:r>
        <w:rPr>
          <w:rFonts w:ascii="仿宋_GB2312" w:eastAsia="仿宋_GB2312" w:hAnsi="仿宋_GB2312" w:cs="仿宋_GB2312" w:hint="eastAsia"/>
          <w:sz w:val="32"/>
          <w:szCs w:val="32"/>
        </w:rPr>
        <w:t>见附件A.2。</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23" w:name="_Toc20226"/>
      <w:r>
        <w:rPr>
          <w:rFonts w:ascii="楷体" w:eastAsia="楷体" w:hAnsi="楷体" w:cs="楷体" w:hint="eastAsia"/>
          <w:sz w:val="32"/>
          <w:szCs w:val="32"/>
        </w:rPr>
        <w:t>2.2 建立重大风险危险源专项档案</w:t>
      </w:r>
      <w:bookmarkEnd w:id="23"/>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水利工程建设项目法人负责组织各参建单位，对本项目所有重大危险源和风险等级为重大的一般危险源（以下简称重大风险危险源），建立重大风险危险源专项档案，专项</w:t>
      </w:r>
      <w:r>
        <w:rPr>
          <w:rFonts w:ascii="仿宋_GB2312" w:eastAsia="仿宋_GB2312" w:hAnsi="仿宋_GB2312" w:cs="仿宋_GB2312"/>
          <w:sz w:val="32"/>
          <w:szCs w:val="32"/>
        </w:rPr>
        <w:t>档案包括但不限于</w:t>
      </w:r>
      <w:r>
        <w:rPr>
          <w:rFonts w:ascii="仿宋_GB2312" w:eastAsia="仿宋_GB2312" w:hAnsi="仿宋_GB2312" w:cs="仿宋_GB2312" w:hint="eastAsia"/>
          <w:sz w:val="32"/>
          <w:szCs w:val="32"/>
        </w:rPr>
        <w:t>重大风险</w:t>
      </w:r>
      <w:r>
        <w:rPr>
          <w:rFonts w:ascii="仿宋_GB2312" w:eastAsia="仿宋_GB2312" w:hAnsi="仿宋_GB2312" w:cs="仿宋_GB2312"/>
          <w:sz w:val="32"/>
          <w:szCs w:val="32"/>
        </w:rPr>
        <w:t>危险</w:t>
      </w:r>
      <w:proofErr w:type="gramStart"/>
      <w:r>
        <w:rPr>
          <w:rFonts w:ascii="仿宋_GB2312" w:eastAsia="仿宋_GB2312" w:hAnsi="仿宋_GB2312" w:cs="仿宋_GB2312"/>
          <w:sz w:val="32"/>
          <w:szCs w:val="32"/>
        </w:rPr>
        <w:t>源基本</w:t>
      </w:r>
      <w:proofErr w:type="gramEnd"/>
      <w:r>
        <w:rPr>
          <w:rFonts w:ascii="仿宋_GB2312" w:eastAsia="仿宋_GB2312" w:hAnsi="仿宋_GB2312" w:cs="仿宋_GB2312"/>
          <w:sz w:val="32"/>
          <w:szCs w:val="32"/>
        </w:rPr>
        <w:t>情况、安全管理制度及安全操作规程、安全监测监控记录、安全</w:t>
      </w:r>
      <w:r>
        <w:rPr>
          <w:rFonts w:ascii="仿宋_GB2312" w:eastAsia="仿宋_GB2312" w:hAnsi="仿宋_GB2312" w:cs="仿宋_GB2312" w:hint="eastAsia"/>
          <w:sz w:val="32"/>
          <w:szCs w:val="32"/>
        </w:rPr>
        <w:t>风险</w:t>
      </w:r>
      <w:r>
        <w:rPr>
          <w:rFonts w:ascii="仿宋_GB2312" w:eastAsia="仿宋_GB2312" w:hAnsi="仿宋_GB2312" w:cs="仿宋_GB2312"/>
          <w:sz w:val="32"/>
          <w:szCs w:val="32"/>
        </w:rPr>
        <w:t>警示</w:t>
      </w:r>
      <w:r>
        <w:rPr>
          <w:rFonts w:ascii="仿宋_GB2312" w:eastAsia="仿宋_GB2312" w:hAnsi="仿宋_GB2312" w:cs="仿宋_GB2312" w:hint="eastAsia"/>
          <w:sz w:val="32"/>
          <w:szCs w:val="32"/>
        </w:rPr>
        <w:t>牌</w:t>
      </w:r>
      <w:r>
        <w:rPr>
          <w:rFonts w:ascii="仿宋_GB2312" w:eastAsia="仿宋_GB2312" w:hAnsi="仿宋_GB2312" w:cs="仿宋_GB2312"/>
          <w:sz w:val="32"/>
          <w:szCs w:val="32"/>
        </w:rPr>
        <w:t>设置</w:t>
      </w:r>
      <w:r>
        <w:rPr>
          <w:rFonts w:ascii="仿宋_GB2312" w:eastAsia="仿宋_GB2312" w:hAnsi="仿宋_GB2312" w:cs="仿宋_GB2312" w:hint="eastAsia"/>
          <w:sz w:val="32"/>
          <w:szCs w:val="32"/>
        </w:rPr>
        <w:t>记</w:t>
      </w:r>
      <w:r>
        <w:rPr>
          <w:rFonts w:ascii="仿宋_GB2312" w:eastAsia="仿宋_GB2312" w:hAnsi="仿宋_GB2312" w:cs="仿宋_GB2312" w:hint="eastAsia"/>
          <w:sz w:val="32"/>
          <w:szCs w:val="32"/>
        </w:rPr>
        <w:lastRenderedPageBreak/>
        <w:t>录</w:t>
      </w:r>
      <w:r>
        <w:rPr>
          <w:rFonts w:ascii="仿宋_GB2312" w:eastAsia="仿宋_GB2312" w:hAnsi="仿宋_GB2312" w:cs="仿宋_GB2312"/>
          <w:sz w:val="32"/>
          <w:szCs w:val="32"/>
        </w:rPr>
        <w:t>、维修养护记录、“一源一案”及应急演练记录等资料。</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24" w:name="_Toc1083"/>
      <w:r>
        <w:rPr>
          <w:rFonts w:ascii="方正黑体_GBK" w:eastAsia="方正黑体_GBK" w:hAnsi="方正黑体_GBK" w:cs="方正黑体_GBK" w:hint="eastAsia"/>
          <w:sz w:val="32"/>
          <w:szCs w:val="32"/>
        </w:rPr>
        <w:t>3 预警机制</w:t>
      </w:r>
      <w:bookmarkEnd w:id="24"/>
    </w:p>
    <w:p w:rsidR="007800EB" w:rsidRDefault="00D67590">
      <w:pPr>
        <w:overflowPunct w:val="0"/>
        <w:spacing w:line="600" w:lineRule="exact"/>
        <w:ind w:firstLineChars="200" w:firstLine="640"/>
        <w:outlineLvl w:val="2"/>
        <w:rPr>
          <w:rFonts w:ascii="楷体" w:eastAsia="楷体" w:hAnsi="楷体" w:cs="楷体"/>
          <w:sz w:val="32"/>
          <w:szCs w:val="32"/>
        </w:rPr>
      </w:pPr>
      <w:bookmarkStart w:id="25" w:name="_Toc18611"/>
      <w:r>
        <w:rPr>
          <w:rFonts w:ascii="楷体" w:eastAsia="楷体" w:hAnsi="楷体" w:cs="楷体" w:hint="eastAsia"/>
          <w:sz w:val="32"/>
          <w:szCs w:val="32"/>
        </w:rPr>
        <w:t>3.1 落实监测监控措施</w:t>
      </w:r>
      <w:bookmarkEnd w:id="2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3.1.1 水利工程建设项目法人应组织各参建单位对较大及以上风险危险源逐一明确监测监控措施、监测频次、监测指标及预警阈值，建立危险源监控清单（见附件A.3）。</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3.1.2 应优先采用自动监测方式，加强对危险源特别是重大风险危险源的监测监控，合理确定监测监控措施、频次、指标及预警阈值，并按照规定开展人工校核，确保监测设施设备正常运行。</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3.1.3 水利工程建设项目各参建单位应按照确定的监测监控要求开展工作，记录保存监测监控、值班值守、巡查检查及设备设施维护保养等资料。</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26" w:name="_Toc4237"/>
      <w:r>
        <w:rPr>
          <w:rFonts w:ascii="楷体" w:eastAsia="楷体" w:hAnsi="楷体" w:cs="楷体" w:hint="eastAsia"/>
          <w:sz w:val="32"/>
          <w:szCs w:val="32"/>
        </w:rPr>
        <w:t>3.2 严格值班值守</w:t>
      </w:r>
      <w:bookmarkEnd w:id="2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3.2.1 水利工程建设项目由项目法人和施工单位建立值班值守制度和事故信息报告制度，各参建单位现场管理机构严格按照制度要求执行，制定值班计划和人员安排表，值班人员应规范填写值班、交接班等记录。</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3.2.2 落实本建设项目与属地水行政主管部门、应急管理部门以及应急救援队伍的常用、备用联系方式，特别是值班联系方式，保持通信联络和信息渠道畅通。</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3.2.3 水利工程建设项目法人应加强对值班人员的培训、管理和考核，确保值班人员掌握必要的预警和应急处置</w:t>
      </w:r>
      <w:r>
        <w:rPr>
          <w:rFonts w:ascii="仿宋_GB2312" w:eastAsia="仿宋_GB2312" w:hAnsi="仿宋_GB2312" w:cs="仿宋_GB2312" w:hint="eastAsia"/>
          <w:sz w:val="32"/>
          <w:szCs w:val="32"/>
        </w:rPr>
        <w:lastRenderedPageBreak/>
        <w:t>知识，及时妥善处置相关情况，并做好详细记录。</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27" w:name="_Toc29738"/>
      <w:r>
        <w:rPr>
          <w:rFonts w:ascii="楷体" w:eastAsia="楷体" w:hAnsi="楷体" w:cs="楷体" w:hint="eastAsia"/>
          <w:sz w:val="32"/>
          <w:szCs w:val="32"/>
        </w:rPr>
        <w:t>3.3 及时实施预警</w:t>
      </w:r>
      <w:bookmarkEnd w:id="2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3.3.1 当危险源监测指标值超过监测预警阈值后，水利工程建设项目法人应组织各参建单位立即采取相应管控措施和应急处置措施。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3.3.2 当风险得到有效控制后，水利工程建设项目法人应解除预警，并认真总结查找管控体系和管控措施存在的问题，完善相关措施。</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28" w:name="_Toc26374"/>
      <w:r>
        <w:rPr>
          <w:rFonts w:ascii="方正黑体_GBK" w:eastAsia="方正黑体_GBK" w:hAnsi="方正黑体_GBK" w:cs="方正黑体_GBK" w:hint="eastAsia"/>
          <w:sz w:val="32"/>
          <w:szCs w:val="32"/>
        </w:rPr>
        <w:t>4 防范机制</w:t>
      </w:r>
      <w:bookmarkEnd w:id="28"/>
    </w:p>
    <w:p w:rsidR="007800EB" w:rsidRDefault="00D67590">
      <w:pPr>
        <w:overflowPunct w:val="0"/>
        <w:spacing w:line="600" w:lineRule="exact"/>
        <w:ind w:firstLineChars="200" w:firstLine="640"/>
        <w:outlineLvl w:val="2"/>
        <w:rPr>
          <w:rFonts w:ascii="楷体" w:eastAsia="楷体" w:hAnsi="楷体" w:cs="楷体"/>
          <w:sz w:val="32"/>
          <w:szCs w:val="32"/>
        </w:rPr>
      </w:pPr>
      <w:bookmarkStart w:id="29" w:name="_Toc1997"/>
      <w:r>
        <w:rPr>
          <w:rFonts w:ascii="楷体" w:eastAsia="楷体" w:hAnsi="楷体" w:cs="楷体" w:hint="eastAsia"/>
          <w:sz w:val="32"/>
          <w:szCs w:val="32"/>
        </w:rPr>
        <w:t>4.1 落实风险分级管控责任</w:t>
      </w:r>
      <w:bookmarkEnd w:id="2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 危险</w:t>
      </w:r>
      <w:proofErr w:type="gramStart"/>
      <w:r>
        <w:rPr>
          <w:rFonts w:ascii="仿宋_GB2312" w:eastAsia="仿宋_GB2312" w:hAnsi="仿宋_GB2312" w:cs="仿宋_GB2312" w:hint="eastAsia"/>
          <w:sz w:val="32"/>
          <w:szCs w:val="32"/>
        </w:rPr>
        <w:t>源实行</w:t>
      </w:r>
      <w:proofErr w:type="gramEnd"/>
      <w:r>
        <w:rPr>
          <w:rFonts w:ascii="仿宋_GB2312" w:eastAsia="仿宋_GB2312" w:hAnsi="仿宋_GB2312" w:cs="仿宋_GB2312" w:hint="eastAsia"/>
          <w:sz w:val="32"/>
          <w:szCs w:val="32"/>
        </w:rPr>
        <w:t>分级管控，根据本项目组织机构设置情况，确定每个危险源的现场管控责任人、组织管控责任人、监督责任人。</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4.1.1.1 危险源的现场管控责任人应由一线员工担任。</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4.1.1.2 水利工程建设项目组织管控责任人和监督责任人按以下原则确定：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①重大风险危险源：由项目法人主要负责人组织监理单位、施工单位共同管控，属地水行政主管部门或部直属单位监督。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②较大风险危险源：由监理单位现场管理机构主要负责人组织施工单位共同管控，项目法人主要负责人监督。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③一般风险和低风险危险源：由施工单位现场管理机构负责人组织管控，监理单位现场管理机构负责人监督。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4.1.1.3 水利工程建设采用代建制模式的，组织管控责任人和监督责任人按以下原则确定：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①重大风险危险源：由项目法人主要负责人会同代建单位主要负责人组织监理单位、施工单位共同管控，属地水行政主管部门或部直属单位监督。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②较大风险危险源：由监理单位现场管理机构主要负责人组织施工单位共同管控，代建单位主要负责人监督。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③一般风险和低风险危险源：由施工单位现场管理机构负责人组织管控，监理单位现场管理机构负责人监督。</w:t>
      </w:r>
    </w:p>
    <w:p w:rsidR="007800EB" w:rsidRDefault="00D67590">
      <w:pPr>
        <w:pStyle w:val="a0"/>
        <w:spacing w:line="600" w:lineRule="exact"/>
        <w:ind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4.1.1.4 水利工程建设采用建设项目总承包模式的，组织管控责任人和监督责任人按以下原则确定：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①重大风险危险源：由项目法人主要负责人组织监理单位、总承包单位共同管控，属地水行政主管部门或部直属单位监督。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②较大风险危险源：由监理单位现场管理机构主要负责人组织总承包单位共同管控，项目法人主要负责人监督。</w:t>
      </w:r>
    </w:p>
    <w:p w:rsidR="007800EB" w:rsidRDefault="00D67590">
      <w:pPr>
        <w:overflowPunct w:val="0"/>
        <w:spacing w:line="600" w:lineRule="exact"/>
        <w:ind w:firstLineChars="200" w:firstLine="640"/>
        <w:rPr>
          <w:highlight w:val="yellow"/>
        </w:rPr>
      </w:pPr>
      <w:r>
        <w:rPr>
          <w:rFonts w:ascii="仿宋_GB2312" w:eastAsia="仿宋_GB2312" w:hAnsi="仿宋_GB2312" w:cs="仿宋_GB2312" w:hint="eastAsia"/>
          <w:sz w:val="32"/>
          <w:szCs w:val="32"/>
        </w:rPr>
        <w:t>③一般风险和低风险危险源：由总承包单位现场管理机构负责人组织管控，监理单位现场管理机构负责人监督。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4.1.1.5 当某一等级风险的危险源缺少对应的管控层级或不属于对应管控</w:t>
      </w:r>
      <w:proofErr w:type="gramStart"/>
      <w:r>
        <w:rPr>
          <w:rFonts w:ascii="仿宋_GB2312" w:eastAsia="仿宋_GB2312" w:hAnsi="仿宋_GB2312" w:cs="仿宋_GB2312" w:hint="eastAsia"/>
          <w:sz w:val="32"/>
          <w:szCs w:val="32"/>
        </w:rPr>
        <w:t>层级职能</w:t>
      </w:r>
      <w:proofErr w:type="gramEnd"/>
      <w:r>
        <w:rPr>
          <w:rFonts w:ascii="仿宋_GB2312" w:eastAsia="仿宋_GB2312" w:hAnsi="仿宋_GB2312" w:cs="仿宋_GB2312" w:hint="eastAsia"/>
          <w:sz w:val="32"/>
          <w:szCs w:val="32"/>
        </w:rPr>
        <w:t>范围时，应当明确对应层级的管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主体或由上一级具有管</w:t>
      </w:r>
      <w:proofErr w:type="gramStart"/>
      <w:r>
        <w:rPr>
          <w:rFonts w:ascii="仿宋_GB2312" w:eastAsia="仿宋_GB2312" w:hAnsi="仿宋_GB2312" w:cs="仿宋_GB2312" w:hint="eastAsia"/>
          <w:sz w:val="32"/>
          <w:szCs w:val="32"/>
        </w:rPr>
        <w:t>控职能</w:t>
      </w:r>
      <w:proofErr w:type="gramEnd"/>
      <w:r>
        <w:rPr>
          <w:rFonts w:ascii="仿宋_GB2312" w:eastAsia="仿宋_GB2312" w:hAnsi="仿宋_GB2312" w:cs="仿宋_GB2312" w:hint="eastAsia"/>
          <w:sz w:val="32"/>
          <w:szCs w:val="32"/>
        </w:rPr>
        <w:t>的层级进行提级管控。</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4.1.2 水利工程建设项目法人应编制本工程风险分级</w:t>
      </w:r>
      <w:r>
        <w:rPr>
          <w:rFonts w:ascii="仿宋_GB2312" w:eastAsia="仿宋_GB2312" w:hAnsi="仿宋_GB2312" w:cs="仿宋_GB2312" w:hint="eastAsia"/>
          <w:sz w:val="32"/>
          <w:szCs w:val="32"/>
        </w:rPr>
        <w:lastRenderedPageBreak/>
        <w:t>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表（见附件A.4）。</w:t>
      </w:r>
      <w:bookmarkStart w:id="30" w:name="_Toc537"/>
    </w:p>
    <w:p w:rsidR="007800EB" w:rsidRDefault="00D67590">
      <w:pPr>
        <w:overflowPunct w:val="0"/>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4.2 落实风险管控措施</w:t>
      </w:r>
      <w:bookmarkEnd w:id="3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4.2.1 水利工程建设项目应采取符合相应法律法规、标准规范和危险源实际情况，实用管用的风险管控措施。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4.2.2 水利工程建设项目风险管控措施由项目法人安全生产分管负责人组织各参建单位现场管理机构负责人、专业技术人员、一线员工共同研究制定。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较大及以上风险危险源管控措施应逐一制定，一般风险和低风险危险源管控措施可根据实际情况适当合并。项目法人组织参建单位建立危险源管控措施清单（见附件A.5）。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 危险</w:t>
      </w:r>
      <w:proofErr w:type="gramStart"/>
      <w:r>
        <w:rPr>
          <w:rFonts w:ascii="仿宋_GB2312" w:eastAsia="仿宋_GB2312" w:hAnsi="仿宋_GB2312" w:cs="仿宋_GB2312" w:hint="eastAsia"/>
          <w:sz w:val="32"/>
          <w:szCs w:val="32"/>
        </w:rPr>
        <w:t>源风险管</w:t>
      </w:r>
      <w:proofErr w:type="gramEnd"/>
      <w:r>
        <w:rPr>
          <w:rFonts w:ascii="仿宋_GB2312" w:eastAsia="仿宋_GB2312" w:hAnsi="仿宋_GB2312" w:cs="仿宋_GB2312" w:hint="eastAsia"/>
          <w:sz w:val="32"/>
          <w:szCs w:val="32"/>
        </w:rPr>
        <w:t>控措施包括但不限于风险公告、工程技术、管理、教育培训、个体防护和应急处置等措施。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 风险公告措施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4.2.3.1.1 水利工程建设项目应根据本工程实际，设置安全风险空间分布图、安全风险公告栏、重大风险警示牌、岗位风险告知卡、安全警示标志等。安全风险空间分布图、安全风险公告栏、重大风险警示牌、岗位风险</w:t>
      </w:r>
      <w:proofErr w:type="gramStart"/>
      <w:r>
        <w:rPr>
          <w:rFonts w:ascii="仿宋_GB2312" w:eastAsia="仿宋_GB2312" w:hAnsi="仿宋_GB2312" w:cs="仿宋_GB2312" w:hint="eastAsia"/>
          <w:sz w:val="32"/>
          <w:szCs w:val="32"/>
        </w:rPr>
        <w:t>告知卡</w:t>
      </w:r>
      <w:proofErr w:type="gramEnd"/>
      <w:r>
        <w:rPr>
          <w:rFonts w:ascii="仿宋_GB2312" w:eastAsia="仿宋_GB2312" w:hAnsi="仿宋_GB2312" w:cs="仿宋_GB2312" w:hint="eastAsia"/>
          <w:sz w:val="32"/>
          <w:szCs w:val="32"/>
        </w:rPr>
        <w:t>的设置，各地已有相关规定的从其规定。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安全风险空间分布图。安全风险空间分布图以平面图等形式呈现工程现场不同风险等级区域的分布情况，一般设置于工程入口处或其他醒目位置，其中重大风险区标为红色、较大风险区为橙色、一般风险区为黄色、低风险区为蓝色（示例见附件B.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lastRenderedPageBreak/>
        <w:t>②</w:t>
      </w:r>
      <w:r>
        <w:rPr>
          <w:rFonts w:ascii="仿宋_GB2312" w:eastAsia="仿宋_GB2312" w:hAnsi="仿宋_GB2312" w:cs="仿宋_GB2312" w:hint="eastAsia"/>
          <w:sz w:val="32"/>
          <w:szCs w:val="32"/>
        </w:rPr>
        <w:t>安全风险公告栏。安全风险公告栏</w:t>
      </w:r>
      <w:r>
        <w:rPr>
          <w:rFonts w:ascii="仿宋_GB2312" w:eastAsia="仿宋_GB2312" w:hAnsi="仿宋_GB2312" w:cs="仿宋_GB2312"/>
          <w:sz w:val="32"/>
          <w:szCs w:val="32"/>
        </w:rPr>
        <w:t>是</w:t>
      </w:r>
      <w:r>
        <w:rPr>
          <w:rFonts w:ascii="仿宋_GB2312" w:eastAsia="仿宋_GB2312" w:hAnsi="仿宋_GB2312" w:cs="仿宋_GB2312" w:hint="eastAsia"/>
          <w:sz w:val="32"/>
          <w:szCs w:val="32"/>
        </w:rPr>
        <w:t>对管理范围内的重大风险进行告知，一般设置于工程入口处或其他醒目位置，主要内容包括危险源名称、位置、类别、级别、风险等级、事故诱因、可能导致的后果、管控责任人（监督责任人、组织管控责任人、现场管控责任人）及报告电话等内容（示例见附件B.2）。</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③</w:t>
      </w:r>
      <w:r>
        <w:rPr>
          <w:rFonts w:ascii="仿宋_GB2312" w:eastAsia="仿宋_GB2312" w:hAnsi="仿宋_GB2312" w:cs="仿宋_GB2312" w:hint="eastAsia"/>
          <w:sz w:val="32"/>
          <w:szCs w:val="32"/>
        </w:rPr>
        <w:t>重大风险警示牌。重大风险警示牌是对重大风险危险源进行警示，一般设置于重大风险危险源所在场所的醒目位置，主要内容包括危险源名称、级别、风险等级、所在部位、事故诱因、可能导致的后果、管控措施、应急措施、管控责任人、报告电话等信息（示例见附件B.3）。</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④</w:t>
      </w:r>
      <w:r>
        <w:rPr>
          <w:rFonts w:ascii="仿宋_GB2312" w:eastAsia="仿宋_GB2312" w:hAnsi="仿宋_GB2312" w:cs="仿宋_GB2312" w:hint="eastAsia"/>
          <w:sz w:val="32"/>
          <w:szCs w:val="32"/>
        </w:rPr>
        <w:t>岗位风险告知卡。</w:t>
      </w:r>
      <w:r>
        <w:rPr>
          <w:rFonts w:ascii="仿宋_GB2312" w:eastAsia="仿宋_GB2312" w:hAnsi="仿宋_GB2312" w:cs="仿宋_GB2312"/>
          <w:sz w:val="32"/>
          <w:szCs w:val="32"/>
        </w:rPr>
        <w:t>岗位风险</w:t>
      </w:r>
      <w:proofErr w:type="gramStart"/>
      <w:r>
        <w:rPr>
          <w:rFonts w:ascii="仿宋_GB2312" w:eastAsia="仿宋_GB2312" w:hAnsi="仿宋_GB2312" w:cs="仿宋_GB2312"/>
          <w:sz w:val="32"/>
          <w:szCs w:val="32"/>
        </w:rPr>
        <w:t>告知卡</w:t>
      </w:r>
      <w:proofErr w:type="gramEnd"/>
      <w:r>
        <w:rPr>
          <w:rFonts w:ascii="仿宋_GB2312" w:eastAsia="仿宋_GB2312" w:hAnsi="仿宋_GB2312" w:cs="仿宋_GB2312"/>
          <w:sz w:val="32"/>
          <w:szCs w:val="32"/>
        </w:rPr>
        <w:t>是对参与</w:t>
      </w:r>
      <w:r>
        <w:rPr>
          <w:rFonts w:ascii="仿宋_GB2312" w:eastAsia="仿宋_GB2312" w:hAnsi="仿宋_GB2312" w:cs="仿宋_GB2312" w:hint="eastAsia"/>
          <w:sz w:val="32"/>
          <w:szCs w:val="32"/>
        </w:rPr>
        <w:t>本工程建设</w:t>
      </w:r>
      <w:r>
        <w:rPr>
          <w:rFonts w:ascii="仿宋_GB2312" w:eastAsia="仿宋_GB2312" w:hAnsi="仿宋_GB2312" w:cs="仿宋_GB2312"/>
          <w:sz w:val="32"/>
          <w:szCs w:val="32"/>
        </w:rPr>
        <w:t>的具体岗位进行风险告知，</w:t>
      </w:r>
      <w:r>
        <w:rPr>
          <w:rFonts w:ascii="仿宋_GB2312" w:eastAsia="仿宋_GB2312" w:hAnsi="仿宋_GB2312" w:cs="仿宋_GB2312" w:hint="eastAsia"/>
          <w:sz w:val="32"/>
          <w:szCs w:val="32"/>
        </w:rPr>
        <w:t>设置于岗位工作场所或由从业人员随身携带，</w:t>
      </w:r>
      <w:r>
        <w:rPr>
          <w:rFonts w:ascii="仿宋_GB2312" w:eastAsia="仿宋_GB2312" w:hAnsi="仿宋_GB2312" w:cs="仿宋_GB2312"/>
          <w:sz w:val="32"/>
          <w:szCs w:val="32"/>
        </w:rPr>
        <w:t>主要包括岗位名称、涉及的</w:t>
      </w:r>
      <w:r>
        <w:rPr>
          <w:rFonts w:ascii="仿宋_GB2312" w:eastAsia="仿宋_GB2312" w:hAnsi="仿宋_GB2312" w:cs="仿宋_GB2312" w:hint="eastAsia"/>
          <w:sz w:val="32"/>
          <w:szCs w:val="32"/>
        </w:rPr>
        <w:t>主要</w:t>
      </w:r>
      <w:r>
        <w:rPr>
          <w:rFonts w:ascii="仿宋_GB2312" w:eastAsia="仿宋_GB2312" w:hAnsi="仿宋_GB2312" w:cs="仿宋_GB2312"/>
          <w:sz w:val="32"/>
          <w:szCs w:val="32"/>
        </w:rPr>
        <w:t>危险源、事故诱因、可能导致的后果、安全操作要点以及风险防范、应急处置措施、报告电话等内容</w:t>
      </w:r>
      <w:r>
        <w:rPr>
          <w:rFonts w:ascii="仿宋_GB2312" w:eastAsia="仿宋_GB2312" w:hAnsi="仿宋_GB2312" w:cs="仿宋_GB2312" w:hint="eastAsia"/>
          <w:sz w:val="32"/>
          <w:szCs w:val="32"/>
        </w:rPr>
        <w:t>（示例见附件B.4）。</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⑤</w:t>
      </w:r>
      <w:r>
        <w:rPr>
          <w:rFonts w:ascii="仿宋_GB2312" w:eastAsia="仿宋_GB2312" w:hAnsi="仿宋_GB2312" w:cs="仿宋_GB2312" w:hint="eastAsia"/>
          <w:sz w:val="32"/>
          <w:szCs w:val="32"/>
        </w:rPr>
        <w:t>安全警示标志。安全警示标志应设置于存在较大及以上风险危险源的工作场所和岗位。安全警示标志的内容、规格、颜色、材质、设置高度等应符合《图形符号 安全色和安全标志 第5部分:安全标志使用原则与要求》（GB/T 2893.5—2020）、《安全标志及其使用导则》（GB 2894—2008）、《消防安全标志 第1部分：标志》（GB 13495.1—2015）等要求。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4.2.3.1.2 风险公告措施应</w:t>
      </w:r>
      <w:proofErr w:type="gramStart"/>
      <w:r>
        <w:rPr>
          <w:rFonts w:ascii="仿宋_GB2312" w:eastAsia="仿宋_GB2312" w:hAnsi="仿宋_GB2312" w:cs="仿宋_GB2312" w:hint="eastAsia"/>
          <w:sz w:val="32"/>
          <w:szCs w:val="32"/>
        </w:rPr>
        <w:t>随危险</w:t>
      </w:r>
      <w:proofErr w:type="gramEnd"/>
      <w:r>
        <w:rPr>
          <w:rFonts w:ascii="仿宋_GB2312" w:eastAsia="仿宋_GB2312" w:hAnsi="仿宋_GB2312" w:cs="仿宋_GB2312" w:hint="eastAsia"/>
          <w:sz w:val="32"/>
          <w:szCs w:val="32"/>
        </w:rPr>
        <w:t>源和风险的动态变化及时更新。水利工程建设项目应根据工程建设实际情况合理确定风险公告更新的频次。</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4.2.3.1.3 水利工程建设项目法人应组织参建单位通过讲解、语音广播、风险告知书等多种形式，</w:t>
      </w:r>
      <w:r>
        <w:rPr>
          <w:rFonts w:ascii="仿宋_GB2312" w:eastAsia="仿宋_GB2312" w:hAnsi="仿宋_GB2312" w:cs="仿宋_GB2312"/>
          <w:sz w:val="32"/>
          <w:szCs w:val="32"/>
        </w:rPr>
        <w:t>及时</w:t>
      </w:r>
      <w:r>
        <w:rPr>
          <w:rFonts w:ascii="仿宋_GB2312" w:eastAsia="仿宋_GB2312" w:hAnsi="仿宋_GB2312" w:cs="仿宋_GB2312" w:hint="eastAsia"/>
          <w:sz w:val="32"/>
          <w:szCs w:val="32"/>
        </w:rPr>
        <w:t>向本工程从业人员和外来人员</w:t>
      </w:r>
      <w:r>
        <w:rPr>
          <w:rFonts w:ascii="仿宋_GB2312" w:eastAsia="仿宋_GB2312" w:hAnsi="仿宋_GB2312" w:cs="仿宋_GB2312"/>
          <w:sz w:val="32"/>
          <w:szCs w:val="32"/>
        </w:rPr>
        <w:t>告知</w:t>
      </w:r>
      <w:r>
        <w:rPr>
          <w:rFonts w:ascii="仿宋_GB2312" w:eastAsia="仿宋_GB2312" w:hAnsi="仿宋_GB2312" w:cs="仿宋_GB2312" w:hint="eastAsia"/>
          <w:sz w:val="32"/>
          <w:szCs w:val="32"/>
        </w:rPr>
        <w:t>安全</w:t>
      </w:r>
      <w:r>
        <w:rPr>
          <w:rFonts w:ascii="仿宋_GB2312" w:eastAsia="仿宋_GB2312" w:hAnsi="仿宋_GB2312" w:cs="仿宋_GB2312"/>
          <w:sz w:val="32"/>
          <w:szCs w:val="32"/>
        </w:rPr>
        <w:t>风险基本情况及防范、应急措施</w:t>
      </w:r>
      <w:r>
        <w:rPr>
          <w:rFonts w:ascii="仿宋_GB2312" w:eastAsia="仿宋_GB2312" w:hAnsi="仿宋_GB2312" w:cs="仿宋_GB2312" w:hint="eastAsia"/>
          <w:sz w:val="32"/>
          <w:szCs w:val="32"/>
        </w:rPr>
        <w:t>，并将有关信息提前告知可能直接受影响的单位和人员。</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4.2.3.2 工程技术措施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①消除或减弱。通过对装置、设备设施、工艺等的优化设计消除危险源。</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②替代。用低危害物质替代或降低系统能量。</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③封闭。对产生或导致危害的设施或场所进行密闭。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④隔离。通过隔离带、栅栏、警戒绳等把人员与危险区域隔开，如采用隔声罩以降低噪声等。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⑤移开或改变方向。调整危险源所在位置，改变有毒有害气体排放口等。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4.2.3.3 管理措施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①</w:t>
      </w:r>
      <w:r>
        <w:rPr>
          <w:rFonts w:ascii="仿宋_GB2312" w:eastAsia="仿宋_GB2312" w:hAnsi="仿宋_GB2312" w:cs="仿宋_GB2312"/>
          <w:kern w:val="2"/>
          <w:sz w:val="32"/>
          <w:szCs w:val="32"/>
        </w:rPr>
        <w:t>制定实施作业程序、安全许可、安全操作规程等。</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②合理调控作业时间、</w:t>
      </w:r>
      <w:r>
        <w:rPr>
          <w:rFonts w:ascii="仿宋_GB2312" w:eastAsia="仿宋_GB2312" w:hAnsi="仿宋_GB2312" w:cs="仿宋_GB2312"/>
          <w:kern w:val="2"/>
          <w:sz w:val="32"/>
          <w:szCs w:val="32"/>
        </w:rPr>
        <w:t>减少暴露时间</w:t>
      </w:r>
      <w:r>
        <w:rPr>
          <w:rFonts w:ascii="仿宋_GB2312" w:eastAsia="仿宋_GB2312" w:hAnsi="仿宋_GB2312" w:cs="仿宋_GB2312" w:hint="eastAsia"/>
          <w:kern w:val="2"/>
          <w:sz w:val="32"/>
          <w:szCs w:val="32"/>
        </w:rPr>
        <w:t>。</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③</w:t>
      </w:r>
      <w:r>
        <w:rPr>
          <w:rFonts w:ascii="仿宋_GB2312" w:eastAsia="仿宋_GB2312" w:hAnsi="仿宋_GB2312" w:cs="仿宋_GB2312"/>
          <w:kern w:val="2"/>
          <w:sz w:val="32"/>
          <w:szCs w:val="32"/>
        </w:rPr>
        <w:t>监测监控</w:t>
      </w:r>
      <w:r>
        <w:rPr>
          <w:rFonts w:ascii="仿宋_GB2312" w:eastAsia="仿宋_GB2312" w:hAnsi="仿宋_GB2312" w:cs="仿宋_GB2312" w:hint="eastAsia"/>
          <w:kern w:val="2"/>
          <w:sz w:val="32"/>
          <w:szCs w:val="32"/>
        </w:rPr>
        <w:t>、巡查，</w:t>
      </w:r>
      <w:r>
        <w:rPr>
          <w:rFonts w:ascii="仿宋_GB2312" w:eastAsia="仿宋_GB2312" w:hAnsi="仿宋_GB2312" w:cs="仿宋_GB2312"/>
          <w:kern w:val="2"/>
          <w:sz w:val="32"/>
          <w:szCs w:val="32"/>
        </w:rPr>
        <w:t>尤其是</w:t>
      </w:r>
      <w:r>
        <w:rPr>
          <w:rFonts w:ascii="仿宋_GB2312" w:eastAsia="仿宋_GB2312" w:hAnsi="仿宋_GB2312" w:cs="仿宋_GB2312" w:hint="eastAsia"/>
          <w:kern w:val="2"/>
          <w:sz w:val="32"/>
          <w:szCs w:val="32"/>
        </w:rPr>
        <w:t>对危险物品存储、使用</w:t>
      </w:r>
      <w:r>
        <w:rPr>
          <w:rFonts w:ascii="仿宋_GB2312" w:eastAsia="仿宋_GB2312" w:hAnsi="仿宋_GB2312" w:cs="仿宋_GB2312"/>
          <w:kern w:val="2"/>
          <w:sz w:val="32"/>
          <w:szCs w:val="32"/>
        </w:rPr>
        <w:t>。</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④</w:t>
      </w:r>
      <w:r>
        <w:rPr>
          <w:rFonts w:ascii="仿宋_GB2312" w:eastAsia="仿宋_GB2312" w:hAnsi="仿宋_GB2312" w:cs="仿宋_GB2312"/>
          <w:kern w:val="2"/>
          <w:sz w:val="32"/>
          <w:szCs w:val="32"/>
        </w:rPr>
        <w:t>警报和警示信号，提高作业人员注意力。</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⑤</w:t>
      </w:r>
      <w:r>
        <w:rPr>
          <w:rFonts w:ascii="仿宋_GB2312" w:eastAsia="仿宋_GB2312" w:hAnsi="仿宋_GB2312" w:cs="仿宋_GB2312"/>
          <w:kern w:val="2"/>
          <w:sz w:val="32"/>
          <w:szCs w:val="32"/>
        </w:rPr>
        <w:t>对处在同一岗位、同一作业场所、同一工序内有相互影响的不同单位和作业人员，通过签订协议等形式明确各自</w:t>
      </w:r>
      <w:r>
        <w:rPr>
          <w:rFonts w:ascii="仿宋_GB2312" w:eastAsia="仿宋_GB2312" w:hAnsi="仿宋_GB2312" w:cs="仿宋_GB2312"/>
          <w:kern w:val="2"/>
          <w:sz w:val="32"/>
          <w:szCs w:val="32"/>
        </w:rPr>
        <w:lastRenderedPageBreak/>
        <w:t>的安全生产责任和义务。</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⑥</w:t>
      </w:r>
      <w:r>
        <w:rPr>
          <w:rFonts w:ascii="仿宋_GB2312" w:eastAsia="仿宋_GB2312" w:hAnsi="仿宋_GB2312" w:cs="仿宋_GB2312"/>
          <w:kern w:val="2"/>
          <w:sz w:val="32"/>
          <w:szCs w:val="32"/>
        </w:rPr>
        <w:t>购买安全生产责任保险。</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⑦其他根据项目实际可以采取的管理措施。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4.2.3.4 教育培训措施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水利工程建设项目法人现场管理机构应定期组织从业人员开展教育培训，使相关人员熟练掌握危险源辨识、风险评价、风险</w:t>
      </w:r>
      <w:proofErr w:type="gramStart"/>
      <w:r>
        <w:rPr>
          <w:rFonts w:ascii="仿宋_GB2312" w:eastAsia="仿宋_GB2312" w:hAnsi="仿宋_GB2312" w:cs="仿宋_GB2312" w:hint="eastAsia"/>
          <w:sz w:val="32"/>
          <w:szCs w:val="32"/>
        </w:rPr>
        <w:t>管控及应急</w:t>
      </w:r>
      <w:proofErr w:type="gramEnd"/>
      <w:r>
        <w:rPr>
          <w:rFonts w:ascii="仿宋_GB2312" w:eastAsia="仿宋_GB2312" w:hAnsi="仿宋_GB2312" w:cs="仿宋_GB2312" w:hint="eastAsia"/>
          <w:sz w:val="32"/>
          <w:szCs w:val="32"/>
        </w:rPr>
        <w:t>处置知识。</w:t>
      </w:r>
    </w:p>
    <w:p w:rsidR="007800EB" w:rsidRDefault="00D67590">
      <w:pPr>
        <w:overflowPunct w:val="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4.2.3.5 个体防护措施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水利工程建设</w:t>
      </w:r>
      <w:r>
        <w:rPr>
          <w:rFonts w:ascii="仿宋_GB2312" w:eastAsia="仿宋_GB2312" w:hAnsi="仿宋_GB2312" w:cs="仿宋_GB2312" w:hint="eastAsia"/>
          <w:sz w:val="32"/>
          <w:szCs w:val="32"/>
        </w:rPr>
        <w:t>项目法人和</w:t>
      </w:r>
      <w:r>
        <w:rPr>
          <w:rFonts w:ascii="仿宋_GB2312" w:eastAsia="仿宋_GB2312" w:hAnsi="仿宋_GB2312" w:cs="仿宋_GB2312"/>
          <w:kern w:val="2"/>
          <w:sz w:val="32"/>
          <w:szCs w:val="32"/>
        </w:rPr>
        <w:t>各</w:t>
      </w:r>
      <w:r>
        <w:rPr>
          <w:rFonts w:ascii="仿宋_GB2312" w:eastAsia="仿宋_GB2312" w:hAnsi="仿宋_GB2312" w:cs="仿宋_GB2312" w:hint="eastAsia"/>
          <w:kern w:val="2"/>
          <w:sz w:val="32"/>
          <w:szCs w:val="32"/>
        </w:rPr>
        <w:t>参建单位应根据作业现场实际情况</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按规范配备符合国家标准或行业标准的</w:t>
      </w:r>
      <w:r>
        <w:rPr>
          <w:rFonts w:ascii="仿宋_GB2312" w:eastAsia="仿宋_GB2312" w:hAnsi="仿宋_GB2312" w:cs="仿宋_GB2312"/>
          <w:kern w:val="2"/>
          <w:sz w:val="32"/>
          <w:szCs w:val="32"/>
        </w:rPr>
        <w:t>个体</w:t>
      </w:r>
      <w:r>
        <w:rPr>
          <w:rFonts w:ascii="仿宋_GB2312" w:eastAsia="仿宋_GB2312" w:hAnsi="仿宋_GB2312" w:cs="仿宋_GB2312" w:hint="eastAsia"/>
          <w:kern w:val="2"/>
          <w:sz w:val="32"/>
          <w:szCs w:val="32"/>
        </w:rPr>
        <w:t>防护用品，从业人员应规范佩戴防护用品。</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 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4.2.3.6.1 重大风险危险源应落实“一源一案”。对于同一类别的重大风险危险源，可以综合考虑管理主体或管控措施的具体情况，分类制定相应的现场处置方案或专项应急预案。</w:t>
      </w:r>
    </w:p>
    <w:p w:rsidR="007800EB" w:rsidRDefault="00D67590">
      <w:pPr>
        <w:pStyle w:val="a0"/>
        <w:spacing w:line="600" w:lineRule="exact"/>
        <w:ind w:firstLine="640"/>
      </w:pPr>
      <w:r>
        <w:rPr>
          <w:rFonts w:ascii="仿宋_GB2312" w:eastAsia="仿宋_GB2312" w:hAnsi="仿宋_GB2312" w:cs="仿宋_GB2312" w:hint="eastAsia"/>
          <w:sz w:val="32"/>
          <w:szCs w:val="32"/>
        </w:rPr>
        <w:t>其他危险源应明确现场处置、伤员抢救、人员撤离、现场控制、事故报告等措施。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4.2.3.6.2 水利工程建设项目法人现场管理机构应组织施工单位现场管理机构针对有关工作场所、设施设备、岗位的特点编制应急处置卡，主要内容包括应急处置程序、措施、相关联络人员和联系方式，发放给从业人员随身携带或在现场显著位置放置（示例见附件B.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4.2.4 水利工程建设项目法人现场管理机构应组织各参建单位现场管理机构相关人员，结合危险源动态辨识情况，对危险源的管控措施每季度至少评估一次，发现问题及时完善和改进。</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当危险源或其风险等级发生变化时，应对管控措施重新检查评估，及时完善相关措施。</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4.2.5 水利工程建设项目法人应通过水利安全生产监管信息系统，及时将重大风险危险源报送负有直接监管责任的主管部门备案（见附件A.6）。危险物品重大危险源应按规定同时报应急管理部门和有关部门备案。</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4.2.6 水利工程建设项目法人应编制危险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表（见附件A.7），包括危险源名称、位置、类别、级别、风险等级、监测方式及频次、管控措施、较大及以上风险危险源预警条件、监督责任人、组织管控责任人、现场管控责任人及联系方式等与危险</w:t>
      </w:r>
      <w:proofErr w:type="gramStart"/>
      <w:r>
        <w:rPr>
          <w:rFonts w:ascii="仿宋_GB2312" w:eastAsia="仿宋_GB2312" w:hAnsi="仿宋_GB2312" w:cs="仿宋_GB2312" w:hint="eastAsia"/>
          <w:sz w:val="32"/>
          <w:szCs w:val="32"/>
        </w:rPr>
        <w:t>源相关</w:t>
      </w:r>
      <w:proofErr w:type="gramEnd"/>
      <w:r>
        <w:rPr>
          <w:rFonts w:ascii="仿宋_GB2312" w:eastAsia="仿宋_GB2312" w:hAnsi="仿宋_GB2312" w:cs="仿宋_GB2312" w:hint="eastAsia"/>
          <w:sz w:val="32"/>
          <w:szCs w:val="32"/>
        </w:rPr>
        <w:t>的各项信息，由各参建单位现场管理机构负责人和项目法人安全生产分管负责人审核确认。</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4.2.7 水利工程建设项目法人应于每季度首月6日前，通过水利安全生产监管信息系统上报本项目上季度危险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w:t>
      </w:r>
    </w:p>
    <w:p w:rsidR="007800EB" w:rsidRDefault="00D67590">
      <w:pPr>
        <w:overflowPunct w:val="0"/>
        <w:spacing w:line="600" w:lineRule="exact"/>
        <w:ind w:firstLineChars="200" w:firstLine="640"/>
        <w:outlineLvl w:val="2"/>
        <w:rPr>
          <w:rFonts w:ascii="楷体" w:eastAsia="楷体" w:hAnsi="楷体" w:cs="楷体"/>
          <w:sz w:val="32"/>
          <w:szCs w:val="32"/>
          <w:highlight w:val="red"/>
        </w:rPr>
      </w:pPr>
      <w:bookmarkStart w:id="31" w:name="_Toc25410"/>
      <w:r>
        <w:rPr>
          <w:rFonts w:ascii="楷体" w:eastAsia="楷体" w:hAnsi="楷体" w:cs="楷体" w:hint="eastAsia"/>
          <w:sz w:val="32"/>
          <w:szCs w:val="32"/>
        </w:rPr>
        <w:t>4.3 编制危险源辨识与风险评价报告</w:t>
      </w:r>
      <w:bookmarkEnd w:id="3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4.3.1 水利工程建设项目首次开展危险源辨识与风险评价时，应由项目法人组织各参建单位编制危险源辨识与风险评价报告，并由各参建单位现场管理机构主要负责人、项</w:t>
      </w:r>
      <w:r>
        <w:rPr>
          <w:rFonts w:ascii="仿宋_GB2312" w:eastAsia="仿宋_GB2312" w:hAnsi="仿宋_GB2312" w:cs="仿宋_GB2312" w:hint="eastAsia"/>
          <w:sz w:val="32"/>
          <w:szCs w:val="32"/>
        </w:rPr>
        <w:lastRenderedPageBreak/>
        <w:t>目法人安全管理部门负责人和分管安全生产负责人签字确认，必要时可组织专家进行审查后确认。报告内容应包括工程简介、辨识与评价主要依据、辨识与评价方法、辨识与评价内容、安全管控措施、应急预案、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等（见附件A.8）。</w:t>
      </w:r>
    </w:p>
    <w:p w:rsidR="007800EB" w:rsidRDefault="00D67590">
      <w:pPr>
        <w:pStyle w:val="a0"/>
        <w:spacing w:line="60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4.3.2 水利工程建设项目开展危险源动态辨识时应同步更新危险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w:t>
      </w:r>
      <w:r>
        <w:rPr>
          <w:rFonts w:ascii="仿宋_GB2312" w:eastAsia="仿宋_GB2312" w:hAnsi="仿宋_GB2312" w:cs="仿宋_GB2312"/>
          <w:sz w:val="32"/>
          <w:szCs w:val="32"/>
        </w:rPr>
        <w:t>可不重新编制</w:t>
      </w:r>
      <w:r>
        <w:rPr>
          <w:rFonts w:ascii="仿宋_GB2312" w:eastAsia="仿宋_GB2312" w:hAnsi="仿宋_GB2312" w:cs="仿宋_GB2312" w:hint="eastAsia"/>
          <w:sz w:val="32"/>
          <w:szCs w:val="32"/>
        </w:rPr>
        <w:t>危险源辨识与风险评价报告。</w:t>
      </w:r>
    </w:p>
    <w:p w:rsidR="007800EB" w:rsidRDefault="00D67590">
      <w:pPr>
        <w:pStyle w:val="a0"/>
        <w:spacing w:line="600" w:lineRule="exact"/>
        <w:ind w:firstLine="640"/>
        <w:outlineLvl w:val="2"/>
        <w:rPr>
          <w:rFonts w:ascii="楷体" w:eastAsia="楷体" w:hAnsi="楷体" w:cs="楷体"/>
          <w:sz w:val="32"/>
          <w:szCs w:val="32"/>
        </w:rPr>
      </w:pPr>
      <w:bookmarkStart w:id="32" w:name="_Toc24013"/>
      <w:r>
        <w:rPr>
          <w:rFonts w:ascii="楷体" w:eastAsia="楷体" w:hAnsi="楷体" w:cs="楷体" w:hint="eastAsia"/>
          <w:sz w:val="32"/>
          <w:szCs w:val="32"/>
        </w:rPr>
        <w:t>4.4 及时排查治理事故隐患</w:t>
      </w:r>
      <w:bookmarkEnd w:id="32"/>
    </w:p>
    <w:p w:rsidR="007800EB" w:rsidRDefault="00D67590">
      <w:pPr>
        <w:overflowPunct w:val="0"/>
        <w:spacing w:line="600" w:lineRule="exact"/>
        <w:ind w:firstLineChars="200" w:firstLine="640"/>
      </w:pPr>
      <w:r>
        <w:rPr>
          <w:rFonts w:ascii="仿宋_GB2312" w:eastAsia="仿宋_GB2312" w:hAnsi="仿宋_GB2312" w:cs="仿宋_GB2312" w:hint="eastAsia"/>
          <w:sz w:val="32"/>
          <w:szCs w:val="32"/>
        </w:rPr>
        <w:t>4.4.1 水利工程建设项目法人应组织各参建单位制定隐患排查治理制度，明确危险</w:t>
      </w:r>
      <w:proofErr w:type="gramStart"/>
      <w:r>
        <w:rPr>
          <w:rFonts w:ascii="仿宋_GB2312" w:eastAsia="仿宋_GB2312" w:hAnsi="仿宋_GB2312" w:cs="仿宋_GB2312" w:hint="eastAsia"/>
          <w:sz w:val="32"/>
          <w:szCs w:val="32"/>
        </w:rPr>
        <w:t>源现场管</w:t>
      </w:r>
      <w:proofErr w:type="gramEnd"/>
      <w:r>
        <w:rPr>
          <w:rFonts w:ascii="仿宋_GB2312" w:eastAsia="仿宋_GB2312" w:hAnsi="仿宋_GB2312" w:cs="仿宋_GB2312" w:hint="eastAsia"/>
          <w:sz w:val="32"/>
          <w:szCs w:val="32"/>
        </w:rPr>
        <w:t>控责任人、组织管控责任人和监督责任人及其他相关人员的隐患排查治理责任、排查频次、隐患整改等要求，将重大事故隐患判定标准纳入隐患排查治理制度。</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4.4.2 水利工程建设项目法人组织各参建单位将学习掌握重大事故隐患判定标准纳入本项目安全生产教育培训计划并组织实施。水利工程建设项目法人负责人以及安全生产管理人员应带头学习并熟练掌握重大事故隐患判定标准，将学习情况和学习效果作为安全生产检查和事故隐患排查治理的重点。</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4.4.3 水利工程建设项目法人主要负责人应每月至少一次对本项目重大事故隐患排查治理情况带队进行检查。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4.4.4 水利工程建设项目各参建单位应按照制度定期对危险源管控措施落实情况进行检查，发现缺失或失效的启</w:t>
      </w:r>
      <w:r>
        <w:rPr>
          <w:rFonts w:ascii="仿宋_GB2312" w:eastAsia="仿宋_GB2312" w:hAnsi="仿宋_GB2312" w:cs="仿宋_GB2312" w:hint="eastAsia"/>
          <w:sz w:val="32"/>
          <w:szCs w:val="32"/>
        </w:rPr>
        <w:lastRenderedPageBreak/>
        <w:t>动隐患治理流程。</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4.4.5 水利工程建设项目各参建单位应对发现的事故隐患进行整改。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.1 一般事故隐患，发现后应立即整改。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.2 重大事故隐患，发现后应立即整改。不能立即整改的要做到责任、措施、资金、时限和预案“五落实”，及时将治理进展情况向负有直接监管责任的水行政主管部门及其他相关部门报告。水利工程建设项目重大事故隐患应由施工单位主要负责人组织制定治理方案，经监理单位审核，</w:t>
      </w:r>
      <w:proofErr w:type="gramStart"/>
      <w:r>
        <w:rPr>
          <w:rFonts w:ascii="仿宋_GB2312" w:eastAsia="仿宋_GB2312" w:hAnsi="仿宋_GB2312" w:cs="仿宋_GB2312" w:hint="eastAsia"/>
          <w:sz w:val="32"/>
          <w:szCs w:val="32"/>
        </w:rPr>
        <w:t>报项目</w:t>
      </w:r>
      <w:proofErr w:type="gramEnd"/>
      <w:r>
        <w:rPr>
          <w:rFonts w:ascii="仿宋_GB2312" w:eastAsia="仿宋_GB2312" w:hAnsi="仿宋_GB2312" w:cs="仿宋_GB2312" w:hint="eastAsia"/>
          <w:sz w:val="32"/>
          <w:szCs w:val="32"/>
        </w:rPr>
        <w:t>法人主要负责人同意后实施。</w:t>
      </w:r>
      <w:r>
        <w:rPr>
          <w:rFonts w:ascii="仿宋_GB2312" w:eastAsia="仿宋_GB2312" w:hAnsi="仿宋_GB2312" w:cs="仿宋_GB2312"/>
          <w:sz w:val="32"/>
          <w:szCs w:val="32"/>
        </w:rPr>
        <w:t>项目法人应将重大事故隐患治理方案报</w:t>
      </w:r>
      <w:r>
        <w:rPr>
          <w:rFonts w:ascii="仿宋_GB2312" w:eastAsia="仿宋_GB2312" w:hAnsi="仿宋_GB2312" w:cs="仿宋_GB2312" w:hint="eastAsia"/>
          <w:sz w:val="32"/>
          <w:szCs w:val="32"/>
        </w:rPr>
        <w:t>送负有直接监管责任的</w:t>
      </w:r>
      <w:r>
        <w:rPr>
          <w:rFonts w:ascii="仿宋_GB2312" w:eastAsia="仿宋_GB2312" w:hAnsi="仿宋_GB2312" w:cs="仿宋_GB2312"/>
          <w:sz w:val="32"/>
          <w:szCs w:val="32"/>
        </w:rPr>
        <w:t>主管部门备案。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.3 水利工程建设项目各参建单位应如实记录事故隐患排查治理情况，并通过职工大会或者职工代表大会、信息公示栏等方式向从业人员通报。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 xml:space="preserve"> 水利工程建设项目法人对事故隐患实行闭环管理。隐患整改完成后，应对隐患治理情况进行评估，及时验收销号。重大事故隐患整改完成后，应通过水利安全生产监管信息系统报送负有直接监管责任的主管部门审核销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 xml:space="preserve"> 水利工程建设项目应建立隐患排查治理工作台账。台</w:t>
      </w:r>
      <w:proofErr w:type="gramStart"/>
      <w:r>
        <w:rPr>
          <w:rFonts w:ascii="仿宋_GB2312" w:eastAsia="仿宋_GB2312" w:hAnsi="仿宋_GB2312" w:cs="仿宋_GB2312" w:hint="eastAsia"/>
          <w:sz w:val="32"/>
          <w:szCs w:val="32"/>
        </w:rPr>
        <w:t>账包括</w:t>
      </w:r>
      <w:proofErr w:type="gramEnd"/>
      <w:r>
        <w:rPr>
          <w:rFonts w:ascii="仿宋_GB2312" w:eastAsia="仿宋_GB2312" w:hAnsi="仿宋_GB2312" w:cs="仿宋_GB2312" w:hint="eastAsia"/>
          <w:sz w:val="32"/>
          <w:szCs w:val="32"/>
        </w:rPr>
        <w:t>但不限于：</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①事故隐患整改通知书〔参照《水利水电工程施工安全管理导则》（SL 721—2015）附件E.0.3—65〕。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②事故隐患整改通知回复单〔参照《水利水电工程施工</w:t>
      </w:r>
      <w:r>
        <w:rPr>
          <w:rFonts w:ascii="仿宋_GB2312" w:eastAsia="仿宋_GB2312" w:hAnsi="仿宋_GB2312" w:cs="仿宋_GB2312" w:hint="eastAsia"/>
          <w:sz w:val="32"/>
          <w:szCs w:val="32"/>
        </w:rPr>
        <w:lastRenderedPageBreak/>
        <w:t>安全管理导则》（SL 721—2015）附件E.0.3—66〕。</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③事故隐患排查治理统计表（见附件A.11）。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 xml:space="preserve"> 水利工程建设项目法人应于每月6日前，通过水利安全生产监管信息系统上报本单位上月隐患排查治理信息（见附件A.11）。</w:t>
      </w:r>
    </w:p>
    <w:p w:rsidR="007800EB" w:rsidRDefault="00D67590">
      <w:pPr>
        <w:overflowPunct w:val="0"/>
        <w:spacing w:line="600" w:lineRule="exact"/>
        <w:ind w:firstLineChars="200" w:firstLine="640"/>
        <w:outlineLvl w:val="1"/>
        <w:rPr>
          <w:rFonts w:ascii="方正黑体_GBK" w:eastAsia="方正黑体_GBK" w:hAnsi="方正黑体_GBK" w:cs="方正黑体_GBK"/>
          <w:sz w:val="32"/>
          <w:szCs w:val="32"/>
        </w:rPr>
      </w:pPr>
      <w:bookmarkStart w:id="33" w:name="_Toc10632"/>
      <w:r>
        <w:rPr>
          <w:rFonts w:ascii="方正黑体_GBK" w:eastAsia="方正黑体_GBK" w:hAnsi="方正黑体_GBK" w:cs="方正黑体_GBK" w:hint="eastAsia"/>
          <w:sz w:val="32"/>
          <w:szCs w:val="32"/>
        </w:rPr>
        <w:t>5 处置机制</w:t>
      </w:r>
      <w:bookmarkEnd w:id="33"/>
    </w:p>
    <w:p w:rsidR="007800EB" w:rsidRDefault="00D67590">
      <w:pPr>
        <w:overflowPunct w:val="0"/>
        <w:spacing w:line="600" w:lineRule="exact"/>
        <w:ind w:firstLineChars="200" w:firstLine="640"/>
        <w:outlineLvl w:val="2"/>
        <w:rPr>
          <w:rFonts w:ascii="楷体" w:eastAsia="楷体" w:hAnsi="楷体" w:cs="楷体"/>
          <w:sz w:val="32"/>
          <w:szCs w:val="32"/>
        </w:rPr>
      </w:pPr>
      <w:bookmarkStart w:id="34" w:name="_Toc5106"/>
      <w:r>
        <w:rPr>
          <w:rFonts w:ascii="楷体" w:eastAsia="楷体" w:hAnsi="楷体" w:cs="楷体" w:hint="eastAsia"/>
          <w:sz w:val="32"/>
          <w:szCs w:val="32"/>
        </w:rPr>
        <w:t>5.1 建立健全应急预案</w:t>
      </w:r>
      <w:bookmarkEnd w:id="34"/>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5.1.1 水利工程建设项目法人、施工单位分别组织开展本项目、本标段生产安全事故风险分析，建立和完善本项目、本标段生产安全事故应急预案。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事故风险单一、危险性小、施工作业人员较少的建设项目，可以只编制现场处置方案。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5.1.2 水利工程建设项目法人、施工单位应按照《生产经营单位生产安全事故应急预案编制导则》（GB/T 29639—2020）编制各类应急预案，应急预案应当包括向相关主管部门报告的内容、应急组织机构和人员的联系方式、应急物资储备清单等附件信息。</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5.1.3 </w:t>
      </w:r>
      <w:r>
        <w:rPr>
          <w:rFonts w:ascii="仿宋_GB2312" w:eastAsia="仿宋_GB2312" w:hAnsi="仿宋_GB2312" w:cs="仿宋_GB2312"/>
          <w:sz w:val="32"/>
          <w:szCs w:val="32"/>
        </w:rPr>
        <w:t>应急预案经</w:t>
      </w:r>
      <w:r>
        <w:rPr>
          <w:rFonts w:ascii="仿宋_GB2312" w:eastAsia="仿宋_GB2312" w:hAnsi="仿宋_GB2312" w:cs="仿宋_GB2312" w:hint="eastAsia"/>
          <w:sz w:val="32"/>
          <w:szCs w:val="32"/>
        </w:rPr>
        <w:t>专家</w:t>
      </w:r>
      <w:r>
        <w:rPr>
          <w:rFonts w:ascii="仿宋_GB2312" w:eastAsia="仿宋_GB2312" w:hAnsi="仿宋_GB2312" w:cs="仿宋_GB2312"/>
          <w:sz w:val="32"/>
          <w:szCs w:val="32"/>
        </w:rPr>
        <w:t>评审或者论证后，由</w:t>
      </w:r>
      <w:r>
        <w:rPr>
          <w:rFonts w:ascii="仿宋_GB2312" w:eastAsia="仿宋_GB2312" w:hAnsi="仿宋_GB2312" w:cs="仿宋_GB2312" w:hint="eastAsia"/>
          <w:sz w:val="32"/>
          <w:szCs w:val="32"/>
        </w:rPr>
        <w:t>水利工程建设项目法人、施工单位主要</w:t>
      </w:r>
      <w:r>
        <w:rPr>
          <w:rFonts w:ascii="仿宋_GB2312" w:eastAsia="仿宋_GB2312" w:hAnsi="仿宋_GB2312" w:cs="仿宋_GB2312"/>
          <w:sz w:val="32"/>
          <w:szCs w:val="32"/>
        </w:rPr>
        <w:t>负责人签署</w:t>
      </w:r>
      <w:r>
        <w:rPr>
          <w:rFonts w:ascii="仿宋_GB2312" w:eastAsia="仿宋_GB2312" w:hAnsi="仿宋_GB2312" w:cs="仿宋_GB2312" w:hint="eastAsia"/>
          <w:sz w:val="32"/>
          <w:szCs w:val="32"/>
        </w:rPr>
        <w:t>印发，及时发放至各参建单位现场管理机构、岗位、从业人员和相关应急救援队伍。</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5.1.4 水利工程建设项目法人应</w:t>
      </w:r>
      <w:r>
        <w:rPr>
          <w:rFonts w:ascii="仿宋_GB2312" w:eastAsia="仿宋_GB2312" w:hAnsi="仿宋_GB2312" w:cs="仿宋_GB2312"/>
          <w:sz w:val="32"/>
          <w:szCs w:val="32"/>
        </w:rPr>
        <w:t>通过水利安全生产监管信息系统向县级以上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水行政主管部门办理</w:t>
      </w:r>
      <w:r>
        <w:rPr>
          <w:rFonts w:ascii="仿宋_GB2312" w:eastAsia="仿宋_GB2312" w:hAnsi="仿宋_GB2312" w:cs="仿宋_GB2312" w:hint="eastAsia"/>
          <w:sz w:val="32"/>
          <w:szCs w:val="32"/>
        </w:rPr>
        <w:t>应急</w:t>
      </w:r>
      <w:r>
        <w:rPr>
          <w:rFonts w:ascii="仿宋_GB2312" w:eastAsia="仿宋_GB2312" w:hAnsi="仿宋_GB2312" w:cs="仿宋_GB2312"/>
          <w:sz w:val="32"/>
          <w:szCs w:val="32"/>
        </w:rPr>
        <w:t>预案</w:t>
      </w:r>
      <w:r>
        <w:rPr>
          <w:rFonts w:ascii="仿宋_GB2312" w:eastAsia="仿宋_GB2312" w:hAnsi="仿宋_GB2312" w:cs="仿宋_GB2312"/>
          <w:sz w:val="32"/>
          <w:szCs w:val="32"/>
        </w:rPr>
        <w:lastRenderedPageBreak/>
        <w:t>备案手续。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 水利工程建设项目法人应定期对应急预案内容的针对性和实用性进行评估，及时修订应急预案。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5.1.5.1水利工程建设项目法人和施工单位应当按照《生产安全事故应急预案管理办法》及《生产经营单位生产安全事故应急预案评估指南》（AQ/T 9011—2019)规定，至少每三年进行一次应急预案评估。</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5.1.5.2 当应急组织指挥体系与职责、应急处置程序、主要处置措施、应急响应分级等内容变更的，水利工程建设项目法人、施工单位应参照应急预案编制程序及时修订，并按照有关应急预案报备程序重新备案。</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35" w:name="_Toc11475"/>
      <w:r>
        <w:rPr>
          <w:rFonts w:ascii="楷体" w:eastAsia="楷体" w:hAnsi="楷体" w:cs="楷体" w:hint="eastAsia"/>
          <w:sz w:val="32"/>
          <w:szCs w:val="32"/>
        </w:rPr>
        <w:t>5.2 明确应急队伍及物资</w:t>
      </w:r>
      <w:bookmarkEnd w:id="3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5.2.1 水利工程建设项目施工单位应建立与项目规模、施工实际相适应的专职或兼职应急救援队伍。</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5.2.2 投资较少、工期较短的水利工程建设项目法人，可以不建立应急救援队伍，但应当指定兼职的应急救援人员，也可以与邻近的应急救援队伍签订应急救援协议。</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5.2.3 水利工程建设项目应根据有关规定并结合实际确定和配备必要的应急救援器材、设备和物资，建立应急装备和</w:t>
      </w:r>
      <w:proofErr w:type="gramStart"/>
      <w:r>
        <w:rPr>
          <w:rFonts w:ascii="仿宋_GB2312" w:eastAsia="仿宋_GB2312" w:hAnsi="仿宋_GB2312" w:cs="仿宋_GB2312" w:hint="eastAsia"/>
          <w:sz w:val="32"/>
          <w:szCs w:val="32"/>
        </w:rPr>
        <w:t>物资台</w:t>
      </w:r>
      <w:proofErr w:type="gramEnd"/>
      <w:r>
        <w:rPr>
          <w:rFonts w:ascii="仿宋_GB2312" w:eastAsia="仿宋_GB2312" w:hAnsi="仿宋_GB2312" w:cs="仿宋_GB2312" w:hint="eastAsia"/>
          <w:sz w:val="32"/>
          <w:szCs w:val="32"/>
        </w:rPr>
        <w:t>账（见附件A.12），明确专人管理，定期检查、维护、更新应急装备物资，保证正常使用。</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36" w:name="_Toc22279"/>
      <w:r>
        <w:rPr>
          <w:rFonts w:ascii="楷体" w:eastAsia="楷体" w:hAnsi="楷体" w:cs="楷体" w:hint="eastAsia"/>
          <w:sz w:val="32"/>
          <w:szCs w:val="32"/>
        </w:rPr>
        <w:t>5.3 开展应急演练</w:t>
      </w:r>
      <w:bookmarkEnd w:id="3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5.3.1 水利工程建设项目法人和施工单位应当每半年</w:t>
      </w:r>
      <w:r>
        <w:rPr>
          <w:rFonts w:ascii="仿宋_GB2312" w:eastAsia="仿宋_GB2312" w:hAnsi="仿宋_GB2312" w:cs="仿宋_GB2312" w:hint="eastAsia"/>
          <w:sz w:val="32"/>
          <w:szCs w:val="32"/>
        </w:rPr>
        <w:lastRenderedPageBreak/>
        <w:t>组织一次生产安全事故应急预案演练，并将演练情况通过水利安全生产监管信息系统报送所在地水行政主管部门。</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5.3.2 水利工程建设项目开展应急演练前应编制演练方案（见附件A.17），准备应急演练所需的物资。应急演练方案应包括演练目的及要求、事故情景、参与人员及范围、时间与地点、主要任务及职责、筹备工作内容、主要工作步骤、技术支撑及保障条件、评估与总结等主要内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5.3.3 水利工程建设项目法人主要负责人应按照演练方案组织开展应急演练，做好演练过程记录，整理留存参与人员签到表、演练照片或视频记录等材料。</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5.3.4 应急演练结束后，水利工程建设项目法人应对演练情况进行评估，分析存在的问题，编制应急演练评估报告，及时修订完善应急预案。演练评估报告应包括演练基本情况、演练评估过程、演练情况分析、改进的意见和建议等主要内容。</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37" w:name="_Toc16981"/>
      <w:r>
        <w:rPr>
          <w:rFonts w:ascii="楷体" w:eastAsia="楷体" w:hAnsi="楷体" w:cs="楷体" w:hint="eastAsia"/>
          <w:sz w:val="32"/>
          <w:szCs w:val="32"/>
        </w:rPr>
        <w:t>5.4 快速有效开展应急处置</w:t>
      </w:r>
      <w:bookmarkEnd w:id="3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 险情发生后，水利工程建设项目法人和各参建单位应根据相应预案迅速</w:t>
      </w:r>
      <w:r>
        <w:rPr>
          <w:rFonts w:ascii="仿宋_GB2312" w:eastAsia="仿宋_GB2312" w:hAnsi="仿宋_GB2312" w:cs="仿宋_GB2312"/>
          <w:sz w:val="32"/>
          <w:szCs w:val="32"/>
        </w:rPr>
        <w:t>启动生产安全事故应急</w:t>
      </w:r>
      <w:r>
        <w:rPr>
          <w:rFonts w:ascii="仿宋_GB2312" w:eastAsia="仿宋_GB2312" w:hAnsi="仿宋_GB2312" w:cs="仿宋_GB2312" w:hint="eastAsia"/>
          <w:sz w:val="32"/>
          <w:szCs w:val="32"/>
        </w:rPr>
        <w:t>响应</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5.4.2 </w:t>
      </w:r>
      <w:r>
        <w:rPr>
          <w:rFonts w:ascii="仿宋_GB2312" w:eastAsia="仿宋_GB2312" w:hAnsi="仿宋_GB2312" w:cs="仿宋_GB2312"/>
          <w:sz w:val="32"/>
          <w:szCs w:val="32"/>
        </w:rPr>
        <w:t>先期处置</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优先组织抢救遇险人员</w:t>
      </w:r>
      <w:r>
        <w:rPr>
          <w:rFonts w:ascii="仿宋_GB2312" w:eastAsia="仿宋_GB2312" w:hAnsi="仿宋_GB2312" w:cs="仿宋_GB2312" w:hint="eastAsia"/>
          <w:sz w:val="32"/>
          <w:szCs w:val="32"/>
        </w:rPr>
        <w:t>，采取必要措施，</w:t>
      </w:r>
      <w:r>
        <w:rPr>
          <w:rFonts w:ascii="仿宋_GB2312" w:eastAsia="仿宋_GB2312" w:hAnsi="仿宋_GB2312" w:cs="仿宋_GB2312"/>
          <w:sz w:val="32"/>
          <w:szCs w:val="32"/>
        </w:rPr>
        <w:t>防止事故危害扩大和次生、衍生灾害发生。</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5.4.3 </w:t>
      </w:r>
      <w:r>
        <w:rPr>
          <w:rFonts w:ascii="仿宋_GB2312" w:eastAsia="仿宋_GB2312" w:hAnsi="仿宋_GB2312" w:cs="仿宋_GB2312"/>
          <w:sz w:val="32"/>
          <w:szCs w:val="32"/>
        </w:rPr>
        <w:t>事故发生后，现场有关人员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立即报告</w:t>
      </w:r>
      <w:r>
        <w:rPr>
          <w:rFonts w:ascii="仿宋_GB2312" w:eastAsia="仿宋_GB2312" w:hAnsi="仿宋_GB2312" w:cs="仿宋_GB2312" w:hint="eastAsia"/>
          <w:sz w:val="32"/>
          <w:szCs w:val="32"/>
        </w:rPr>
        <w:t>项目法人，项目法人</w:t>
      </w:r>
      <w:r>
        <w:rPr>
          <w:rFonts w:ascii="仿宋_GB2312" w:eastAsia="仿宋_GB2312" w:hAnsi="仿宋_GB2312" w:cs="仿宋_GB2312"/>
          <w:sz w:val="32"/>
          <w:szCs w:val="32"/>
        </w:rPr>
        <w:t>负责人接到事故报告后，</w:t>
      </w:r>
      <w:r>
        <w:rPr>
          <w:rFonts w:ascii="仿宋_GB2312" w:eastAsia="仿宋_GB2312" w:hAnsi="仿宋_GB2312" w:cs="仿宋_GB2312" w:hint="eastAsia"/>
          <w:sz w:val="32"/>
          <w:szCs w:val="32"/>
        </w:rPr>
        <w:t>应立即</w:t>
      </w:r>
      <w:r>
        <w:rPr>
          <w:rFonts w:ascii="仿宋_GB2312" w:eastAsia="仿宋_GB2312" w:hAnsi="仿宋_GB2312" w:cs="仿宋_GB2312"/>
          <w:sz w:val="32"/>
          <w:szCs w:val="32"/>
        </w:rPr>
        <w:t>向</w:t>
      </w:r>
      <w:r>
        <w:rPr>
          <w:rFonts w:ascii="仿宋_GB2312" w:eastAsia="仿宋_GB2312" w:hAnsi="仿宋_GB2312" w:cs="仿宋_GB2312" w:hint="eastAsia"/>
          <w:sz w:val="32"/>
          <w:szCs w:val="32"/>
        </w:rPr>
        <w:t>当地</w:t>
      </w:r>
      <w:r>
        <w:rPr>
          <w:rFonts w:ascii="仿宋_GB2312" w:eastAsia="仿宋_GB2312" w:hAnsi="仿宋_GB2312" w:cs="仿宋_GB2312"/>
          <w:sz w:val="32"/>
          <w:szCs w:val="32"/>
        </w:rPr>
        <w:t>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水行政主管部门和有关部门报告。</w:t>
      </w:r>
      <w:r>
        <w:rPr>
          <w:rFonts w:ascii="仿宋_GB2312" w:eastAsia="仿宋_GB2312" w:hAnsi="仿宋_GB2312" w:cs="仿宋_GB2312" w:hint="eastAsia"/>
          <w:sz w:val="32"/>
          <w:szCs w:val="32"/>
        </w:rPr>
        <w:t>情况紧急时，现场</w:t>
      </w:r>
      <w:r>
        <w:rPr>
          <w:rFonts w:ascii="仿宋_GB2312" w:eastAsia="仿宋_GB2312" w:hAnsi="仿宋_GB2312" w:cs="仿宋_GB2312" w:hint="eastAsia"/>
          <w:sz w:val="32"/>
          <w:szCs w:val="32"/>
        </w:rPr>
        <w:lastRenderedPageBreak/>
        <w:t>人员可以越级上报。</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38" w:name="_Toc10587"/>
      <w:r>
        <w:rPr>
          <w:rFonts w:ascii="方正黑体_GBK" w:eastAsia="方正黑体_GBK" w:hAnsi="方正黑体_GBK" w:cs="方正黑体_GBK" w:hint="eastAsia"/>
          <w:sz w:val="32"/>
          <w:szCs w:val="32"/>
        </w:rPr>
        <w:t>6 责任机制</w:t>
      </w:r>
      <w:bookmarkEnd w:id="38"/>
    </w:p>
    <w:p w:rsidR="007800EB" w:rsidRDefault="00D67590">
      <w:pPr>
        <w:overflowPunct w:val="0"/>
        <w:spacing w:line="600" w:lineRule="exact"/>
        <w:ind w:firstLineChars="200" w:firstLine="640"/>
        <w:outlineLvl w:val="2"/>
        <w:rPr>
          <w:rFonts w:ascii="楷体" w:eastAsia="楷体" w:hAnsi="楷体" w:cs="楷体"/>
          <w:sz w:val="32"/>
          <w:szCs w:val="32"/>
        </w:rPr>
      </w:pPr>
      <w:bookmarkStart w:id="39" w:name="_Toc1379"/>
      <w:r>
        <w:rPr>
          <w:rFonts w:ascii="楷体" w:eastAsia="楷体" w:hAnsi="楷体" w:cs="楷体" w:hint="eastAsia"/>
          <w:sz w:val="32"/>
          <w:szCs w:val="32"/>
        </w:rPr>
        <w:t>6.1 建立全员安全生产责任制</w:t>
      </w:r>
      <w:bookmarkEnd w:id="3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6.1.1 水利工程建设项目法人和各参建单位应建立全员安全生产责任制，明确各级负责人、各职能部门和各岗位工作人员安全生产责任范围、履责要求。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全员安全生产责任制应以单位正式文件</w:t>
      </w:r>
      <w:r>
        <w:rPr>
          <w:rFonts w:ascii="仿宋_GB2312" w:eastAsia="仿宋_GB2312" w:hAnsi="仿宋_GB2312" w:cs="仿宋_GB2312" w:hint="eastAsia"/>
          <w:sz w:val="32"/>
          <w:szCs w:val="32"/>
        </w:rPr>
        <w:t>印发至项目法人和各</w:t>
      </w:r>
      <w:r>
        <w:rPr>
          <w:rFonts w:ascii="仿宋_GB2312" w:eastAsia="仿宋_GB2312" w:hAnsi="仿宋_GB2312" w:cs="仿宋_GB2312"/>
          <w:sz w:val="32"/>
          <w:szCs w:val="32"/>
        </w:rPr>
        <w:t>参建单位现场管理机构</w:t>
      </w:r>
      <w:r>
        <w:rPr>
          <w:rFonts w:ascii="仿宋_GB2312" w:eastAsia="仿宋_GB2312" w:hAnsi="仿宋_GB2312" w:cs="仿宋_GB2312" w:hint="eastAsia"/>
          <w:sz w:val="32"/>
          <w:szCs w:val="32"/>
        </w:rPr>
        <w:t>的</w:t>
      </w:r>
      <w:r>
        <w:rPr>
          <w:rFonts w:ascii="仿宋_GB2312" w:eastAsia="仿宋_GB2312" w:hAnsi="仿宋_GB2312" w:cs="仿宋_GB2312"/>
          <w:sz w:val="32"/>
          <w:szCs w:val="32"/>
        </w:rPr>
        <w:t>每个岗位和</w:t>
      </w:r>
      <w:r>
        <w:rPr>
          <w:rFonts w:ascii="仿宋_GB2312" w:eastAsia="仿宋_GB2312" w:hAnsi="仿宋_GB2312" w:cs="仿宋_GB2312" w:hint="eastAsia"/>
          <w:sz w:val="32"/>
          <w:szCs w:val="32"/>
        </w:rPr>
        <w:t>人员。</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6.1.</w:t>
      </w:r>
      <w:r>
        <w:rPr>
          <w:rFonts w:ascii="仿宋_GB2312" w:eastAsia="仿宋_GB2312" w:hAnsi="仿宋_GB2312" w:cs="仿宋_GB2312" w:hint="eastAsia"/>
          <w:sz w:val="32"/>
          <w:szCs w:val="32"/>
        </w:rPr>
        <w:t>2 水利工程建设项目法人主要负责人与各参建单位主要负责人，项目法人和各参建单位</w:t>
      </w:r>
      <w:r>
        <w:rPr>
          <w:rFonts w:ascii="仿宋_GB2312" w:eastAsia="仿宋_GB2312" w:hAnsi="仿宋_GB2312" w:cs="仿宋_GB2312"/>
          <w:sz w:val="32"/>
          <w:szCs w:val="32"/>
        </w:rPr>
        <w:t>主要负责人与分管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与</w:t>
      </w:r>
      <w:r>
        <w:rPr>
          <w:rFonts w:ascii="仿宋_GB2312" w:eastAsia="仿宋_GB2312" w:hAnsi="仿宋_GB2312" w:cs="仿宋_GB2312" w:hint="eastAsia"/>
          <w:sz w:val="32"/>
          <w:szCs w:val="32"/>
        </w:rPr>
        <w:t>现场管理机构负责人，现场管理机构负责人与</w:t>
      </w:r>
      <w:r>
        <w:rPr>
          <w:rFonts w:ascii="仿宋_GB2312" w:eastAsia="仿宋_GB2312" w:hAnsi="仿宋_GB2312" w:cs="仿宋_GB2312"/>
          <w:sz w:val="32"/>
          <w:szCs w:val="32"/>
        </w:rPr>
        <w:t>各岗位工作人员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逐级</w:t>
      </w:r>
      <w:r>
        <w:rPr>
          <w:rFonts w:ascii="仿宋_GB2312" w:eastAsia="仿宋_GB2312" w:hAnsi="仿宋_GB2312" w:cs="仿宋_GB2312" w:hint="eastAsia"/>
          <w:sz w:val="32"/>
          <w:szCs w:val="32"/>
        </w:rPr>
        <w:t>明确</w:t>
      </w:r>
      <w:r>
        <w:rPr>
          <w:rFonts w:ascii="仿宋_GB2312" w:eastAsia="仿宋_GB2312" w:hAnsi="仿宋_GB2312" w:cs="仿宋_GB2312"/>
          <w:sz w:val="32"/>
          <w:szCs w:val="32"/>
        </w:rPr>
        <w:t>安全生产责任</w:t>
      </w:r>
      <w:r>
        <w:rPr>
          <w:rFonts w:ascii="仿宋_GB2312" w:eastAsia="仿宋_GB2312" w:hAnsi="仿宋_GB2312" w:cs="仿宋_GB2312" w:hint="eastAsia"/>
          <w:sz w:val="32"/>
          <w:szCs w:val="32"/>
        </w:rPr>
        <w:t>和</w:t>
      </w:r>
      <w:proofErr w:type="gramStart"/>
      <w:r>
        <w:rPr>
          <w:rFonts w:ascii="仿宋_GB2312" w:eastAsia="仿宋_GB2312" w:hAnsi="仿宋_GB2312" w:cs="仿宋_GB2312" w:hint="eastAsia"/>
          <w:sz w:val="32"/>
          <w:szCs w:val="32"/>
        </w:rPr>
        <w:t>履责</w:t>
      </w:r>
      <w:proofErr w:type="gramEnd"/>
      <w:r>
        <w:rPr>
          <w:rFonts w:ascii="仿宋_GB2312" w:eastAsia="仿宋_GB2312" w:hAnsi="仿宋_GB2312" w:cs="仿宋_GB2312" w:hint="eastAsia"/>
          <w:sz w:val="32"/>
          <w:szCs w:val="32"/>
        </w:rPr>
        <w:t>要求</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0" w:name="_Toc23089"/>
      <w:r>
        <w:rPr>
          <w:rFonts w:ascii="楷体" w:eastAsia="楷体" w:hAnsi="楷体" w:cs="楷体" w:hint="eastAsia"/>
          <w:sz w:val="32"/>
          <w:szCs w:val="32"/>
        </w:rPr>
        <w:t>6.2 开展教育培训</w:t>
      </w:r>
      <w:bookmarkEnd w:id="4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6.2.1 水利工程建设项目法人主要负责人应组织制定包括“六项机制”在内的年度安全生产教育培训计划。</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 应当接受安全教育培训的从业人员包括项目法人和各参建单位现场管理机构主要负责人、安全生产管理人员、特种作业（特种设备作业）人员和其他从业人员，以及劳务派遣、灵活用工、对外委托协作单位人员等。从业人员应</w:t>
      </w:r>
      <w:r>
        <w:rPr>
          <w:rFonts w:ascii="仿宋_GB2312" w:eastAsia="仿宋_GB2312" w:hAnsi="仿宋_GB2312" w:cs="仿宋_GB2312"/>
          <w:sz w:val="32"/>
          <w:szCs w:val="32"/>
        </w:rPr>
        <w:t>做到“三知两会”，即知道本岗位危险源所在、管控措施、应急措施，会使用配备的应急器材、宣讲岗位风险防范措施</w:t>
      </w:r>
      <w:r>
        <w:rPr>
          <w:rFonts w:ascii="仿宋_GB2312" w:eastAsia="仿宋_GB2312" w:hAnsi="仿宋_GB2312" w:cs="仿宋_GB2312" w:hint="eastAsia"/>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6.2.2.1 水利工程建设项目法人和各参建单位主要负</w:t>
      </w:r>
      <w:r>
        <w:rPr>
          <w:rFonts w:ascii="仿宋_GB2312" w:eastAsia="仿宋_GB2312" w:hAnsi="仿宋_GB2312" w:cs="仿宋_GB2312" w:hint="eastAsia"/>
          <w:sz w:val="32"/>
          <w:szCs w:val="32"/>
        </w:rPr>
        <w:lastRenderedPageBreak/>
        <w:t>责人和安全生产管理人员初次安全培训时间不少于32学时（含“六项机制”内容12学时以上），每年再培训时间不少于12学时。水利水电工程施工企业主要负责人、项目负责人和专职安全生产管理人员应当经过有关水行政主管部门安全生产考核合格。</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6.2.2.2 水利工程建设项目法人和各参建单位应当对新上岗的临时工、合同工、劳务工、轮换工、</w:t>
      </w:r>
      <w:proofErr w:type="gramStart"/>
      <w:r>
        <w:rPr>
          <w:rFonts w:ascii="仿宋_GB2312" w:eastAsia="仿宋_GB2312" w:hAnsi="仿宋_GB2312" w:cs="仿宋_GB2312" w:hint="eastAsia"/>
          <w:sz w:val="32"/>
          <w:szCs w:val="32"/>
        </w:rPr>
        <w:t>协议工</w:t>
      </w:r>
      <w:proofErr w:type="gramEnd"/>
      <w:r>
        <w:rPr>
          <w:rFonts w:ascii="仿宋_GB2312" w:eastAsia="仿宋_GB2312" w:hAnsi="仿宋_GB2312" w:cs="仿宋_GB2312" w:hint="eastAsia"/>
          <w:sz w:val="32"/>
          <w:szCs w:val="32"/>
        </w:rPr>
        <w:t>等从业人员进行安全培训，岗前安全培训时间不少于24学时（含“六项机制”内容8学时以上）；对劳务派遣、灵活用工、对外委托协作单位人员等其他从业人员开展安全生产培训，保证其具备本岗位风险管控、应急处置等知识和技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6.2.2.3 水利工程建设项目从业人员在本单位内调整工作岗位或离岗一年以上重新上岗时，应当重新接受项目部级和</w:t>
      </w:r>
      <w:proofErr w:type="gramStart"/>
      <w:r>
        <w:rPr>
          <w:rFonts w:ascii="仿宋_GB2312" w:eastAsia="仿宋_GB2312" w:hAnsi="仿宋_GB2312" w:cs="仿宋_GB2312" w:hint="eastAsia"/>
          <w:sz w:val="32"/>
          <w:szCs w:val="32"/>
        </w:rPr>
        <w:t>班组级</w:t>
      </w:r>
      <w:proofErr w:type="gramEnd"/>
      <w:r>
        <w:rPr>
          <w:rFonts w:ascii="仿宋_GB2312" w:eastAsia="仿宋_GB2312" w:hAnsi="仿宋_GB2312" w:cs="仿宋_GB2312" w:hint="eastAsia"/>
          <w:sz w:val="32"/>
          <w:szCs w:val="32"/>
        </w:rPr>
        <w:t>的安全培训，培训时间不少于8学时。</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6.2.2.4 水利工程建设项目采用新工艺、新技术或者使用新设备、新材料时，应对有关从业人员进行有针对性的安全培训。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6.2.2.5 特种作业人员和特种设备作业人员必须按照国家有关法律、法规的规定接受专门的安全培训，经考核合格，取得相应操作资格证书后，方可上岗作业。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6.2.3 水利工程建设项目法人和各参建单位应建立安全生产教育培训档案，如实记录培训时间、内容、参加人员以及培训考核结果等情况（见附件A.13）。</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1" w:name="_Toc3210"/>
      <w:r>
        <w:rPr>
          <w:rFonts w:ascii="楷体" w:eastAsia="楷体" w:hAnsi="楷体" w:cs="楷体" w:hint="eastAsia"/>
          <w:sz w:val="32"/>
          <w:szCs w:val="32"/>
        </w:rPr>
        <w:lastRenderedPageBreak/>
        <w:t>6.3 开展责任制考核</w:t>
      </w:r>
      <w:bookmarkEnd w:id="4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6.3.1 水利工程建设项目法人和各参建单位应制定安全生产岗位责任考核办法，岗位责任考核指标和标准应尽可能细化、量化、便于操作，并明确考核周期和考核结果应用等内容。</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 xml:space="preserve">6.3.2 水利工程建设项目法人和各参建单位应根据安全生产岗位责任考核办法定期开展考核，检查岗位责任落实和有关指标完成情况，兑现奖惩措施。                        </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2" w:name="_Toc24803"/>
      <w:r>
        <w:rPr>
          <w:rFonts w:ascii="楷体" w:eastAsia="楷体" w:hAnsi="楷体" w:cs="楷体" w:hint="eastAsia"/>
          <w:sz w:val="32"/>
          <w:szCs w:val="32"/>
        </w:rPr>
        <w:t>6.4 严格奖惩问责</w:t>
      </w:r>
      <w:bookmarkEnd w:id="42"/>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6.4.1 水利工程建设项目法人应组织各参建单位制定本项目安全生产奖惩制度，严格各参建单位安全生产履约管理。</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6.4.2 根据《中华人民共和国安全生产法》《中华人民共和国刑法》《生产安全事故报告和调查处理条例》对事故责任追究的规定，水利工程建设项目法人应积极配合有关部门做好生产安全事故的调查和处理，并按照“四不放过”原则实施事故责任追究。</w:t>
      </w:r>
    </w:p>
    <w:p w:rsidR="007800EB" w:rsidRDefault="007800EB">
      <w:pPr>
        <w:pStyle w:val="a0"/>
        <w:spacing w:line="600" w:lineRule="exact"/>
        <w:ind w:firstLine="640"/>
        <w:rPr>
          <w:rFonts w:ascii="仿宋_GB2312" w:eastAsia="仿宋_GB2312" w:hAnsi="仿宋_GB2312" w:cs="仿宋_GB2312"/>
          <w:sz w:val="32"/>
          <w:szCs w:val="32"/>
        </w:rPr>
        <w:sectPr w:rsidR="007800EB">
          <w:footerReference w:type="default" r:id="rId14"/>
          <w:pgSz w:w="11906" w:h="16838"/>
          <w:pgMar w:top="1440" w:right="1803" w:bottom="1440" w:left="1803" w:header="851" w:footer="992" w:gutter="0"/>
          <w:cols w:space="720"/>
          <w:docGrid w:type="lines" w:linePitch="319"/>
        </w:sectPr>
      </w:pPr>
    </w:p>
    <w:p w:rsidR="007800EB" w:rsidRDefault="00D67590">
      <w:pPr>
        <w:pStyle w:val="a0"/>
        <w:ind w:firstLineChars="0" w:firstLine="0"/>
        <w:jc w:val="center"/>
      </w:pPr>
      <w:r>
        <w:rPr>
          <w:rFonts w:hint="eastAsia"/>
          <w:noProof/>
        </w:rPr>
        <w:lastRenderedPageBreak/>
        <w:drawing>
          <wp:inline distT="0" distB="0" distL="114300" distR="114300" wp14:anchorId="3B054D15" wp14:editId="556AEFED">
            <wp:extent cx="8601075" cy="4679950"/>
            <wp:effectExtent l="0" t="0" r="9525" b="6350"/>
            <wp:docPr id="33" name="图片 33" descr="1.查找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查找机制（工程建设）"/>
                    <pic:cNvPicPr>
                      <a:picLocks noChangeAspect="1"/>
                    </pic:cNvPicPr>
                  </pic:nvPicPr>
                  <pic:blipFill>
                    <a:blip r:embed="rId15"/>
                    <a:stretch>
                      <a:fillRect/>
                    </a:stretch>
                  </pic:blipFill>
                  <pic:spPr>
                    <a:xfrm>
                      <a:off x="0" y="0"/>
                      <a:ext cx="8601075" cy="4679950"/>
                    </a:xfrm>
                    <a:prstGeom prst="rect">
                      <a:avLst/>
                    </a:prstGeom>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图3 水利工程建设项目查找机制工作内容框架图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02833403" wp14:editId="7E6F138E">
            <wp:extent cx="9004300" cy="2159000"/>
            <wp:effectExtent l="0" t="0" r="0" b="0"/>
            <wp:docPr id="4" name="图片 52" descr="2.研判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descr="2.研判机制（工程建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004300" cy="2159000"/>
                    </a:xfrm>
                    <a:prstGeom prst="rect">
                      <a:avLst/>
                    </a:prstGeom>
                    <a:noFill/>
                    <a:ln>
                      <a:noFill/>
                    </a:ln>
                    <a:effectLst/>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图4 水利工程建设项目</w:t>
      </w:r>
      <w:proofErr w:type="gramStart"/>
      <w:r>
        <w:rPr>
          <w:rFonts w:ascii="仿宋_GB2312" w:eastAsia="仿宋_GB2312" w:hAnsi="仿宋_GB2312" w:cs="仿宋_GB2312" w:hint="eastAsia"/>
          <w:b/>
          <w:bCs/>
          <w:kern w:val="2"/>
          <w:sz w:val="32"/>
          <w:szCs w:val="32"/>
        </w:rPr>
        <w:t>研判机制</w:t>
      </w:r>
      <w:proofErr w:type="gramEnd"/>
      <w:r>
        <w:rPr>
          <w:rFonts w:ascii="仿宋_GB2312" w:eastAsia="仿宋_GB2312" w:hAnsi="仿宋_GB2312" w:cs="仿宋_GB2312" w:hint="eastAsia"/>
          <w:b/>
          <w:bCs/>
          <w:kern w:val="2"/>
          <w:sz w:val="32"/>
          <w:szCs w:val="32"/>
        </w:rPr>
        <w:t>工作内容框架图</w:t>
      </w:r>
    </w:p>
    <w:p w:rsidR="007800EB" w:rsidRDefault="007800EB">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064E1ED6" wp14:editId="7E019F87">
            <wp:extent cx="9004300" cy="4610100"/>
            <wp:effectExtent l="0" t="0" r="0" b="0"/>
            <wp:docPr id="5" name="图片 96" descr="3.预警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6" descr="3.预警机制（工程建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004300" cy="461010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图5 水利工程建设项目预警机制工作内容框架图</w:t>
      </w:r>
    </w:p>
    <w:p w:rsidR="007800EB" w:rsidRDefault="007800EB">
      <w:pPr>
        <w:pStyle w:val="a0"/>
        <w:ind w:firstLineChars="0" w:firstLine="0"/>
        <w:rPr>
          <w:rFonts w:ascii="仿宋_GB2312" w:eastAsia="仿宋_GB2312" w:hAnsi="仿宋_GB2312" w:cs="仿宋_GB2312"/>
          <w:kern w:val="2"/>
          <w:sz w:val="32"/>
          <w:szCs w:val="32"/>
          <w:lang w:val="en"/>
        </w:rPr>
      </w:pPr>
    </w:p>
    <w:p w:rsidR="007800EB" w:rsidRDefault="007800EB">
      <w:pPr>
        <w:pStyle w:val="a0"/>
        <w:ind w:firstLineChars="0" w:firstLine="0"/>
        <w:rPr>
          <w:rFonts w:ascii="仿宋_GB2312" w:eastAsia="仿宋_GB2312" w:hAnsi="仿宋_GB2312" w:cs="仿宋_GB2312"/>
          <w:kern w:val="2"/>
          <w:sz w:val="32"/>
          <w:szCs w:val="32"/>
          <w:lang w:val="en"/>
        </w:rPr>
      </w:pPr>
    </w:p>
    <w:p w:rsidR="007800EB" w:rsidRDefault="00D67590">
      <w:pPr>
        <w:pStyle w:val="a0"/>
        <w:ind w:firstLineChars="0" w:firstLine="0"/>
        <w:jc w:val="center"/>
        <w:rPr>
          <w:rFonts w:ascii="仿宋_GB2312" w:eastAsia="仿宋_GB2312" w:hAnsi="仿宋_GB2312" w:cs="仿宋_GB2312"/>
          <w:b/>
          <w:bCs/>
          <w:kern w:val="2"/>
          <w:sz w:val="32"/>
          <w:szCs w:val="32"/>
        </w:rPr>
      </w:pPr>
      <w:r>
        <w:rPr>
          <w:rFonts w:ascii="仿宋_GB2312" w:eastAsia="仿宋_GB2312" w:hAnsi="仿宋_GB2312" w:cs="仿宋_GB2312" w:hint="eastAsia"/>
          <w:b/>
          <w:bCs/>
          <w:noProof/>
          <w:kern w:val="2"/>
          <w:sz w:val="32"/>
          <w:szCs w:val="32"/>
        </w:rPr>
        <w:drawing>
          <wp:inline distT="0" distB="0" distL="114300" distR="114300" wp14:anchorId="1F51E931" wp14:editId="246BCCE7">
            <wp:extent cx="5631815" cy="6299835"/>
            <wp:effectExtent l="0" t="0" r="6985" b="5715"/>
            <wp:docPr id="35" name="图片 35" descr="4.防范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防范机制（工程建设）"/>
                    <pic:cNvPicPr>
                      <a:picLocks noChangeAspect="1"/>
                    </pic:cNvPicPr>
                  </pic:nvPicPr>
                  <pic:blipFill>
                    <a:blip r:embed="rId18"/>
                    <a:stretch>
                      <a:fillRect/>
                    </a:stretch>
                  </pic:blipFill>
                  <pic:spPr>
                    <a:xfrm>
                      <a:off x="0" y="0"/>
                      <a:ext cx="5631815" cy="6299835"/>
                    </a:xfrm>
                    <a:prstGeom prst="rect">
                      <a:avLst/>
                    </a:prstGeom>
                  </pic:spPr>
                </pic:pic>
              </a:graphicData>
            </a:graphic>
          </wp:inline>
        </w:drawing>
      </w:r>
    </w:p>
    <w:p w:rsidR="007800EB" w:rsidRDefault="007800EB">
      <w:pPr>
        <w:pStyle w:val="a0"/>
        <w:ind w:firstLineChars="0" w:firstLine="0"/>
        <w:jc w:val="center"/>
        <w:rPr>
          <w:rFonts w:ascii="仿宋_GB2312" w:eastAsia="仿宋_GB2312" w:hAnsi="仿宋_GB2312" w:cs="仿宋_GB2312"/>
          <w:b/>
          <w:bCs/>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图6 水利工程建设项目防范机制工作内容框架图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56A07410" wp14:editId="649161DA">
            <wp:extent cx="5854700" cy="5581650"/>
            <wp:effectExtent l="0" t="0" r="0" b="0"/>
            <wp:docPr id="7" name="图片 51" descr="5.处置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descr="5.处置机制（工程建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54700" cy="5581650"/>
                    </a:xfrm>
                    <a:prstGeom prst="rect">
                      <a:avLst/>
                    </a:prstGeom>
                    <a:noFill/>
                    <a:ln>
                      <a:noFill/>
                    </a:ln>
                    <a:effectLst/>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图7 水利工程建设项目处置机制工作内容框架图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3863D272" wp14:editId="688D289E">
            <wp:extent cx="9105900" cy="4857750"/>
            <wp:effectExtent l="0" t="0" r="0" b="0"/>
            <wp:docPr id="8" name="图片 98" descr="6.责任机制（工程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8" descr="6.责任机制（工程建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10590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图8 水利工程建设项目责任机制工作内容框架图</w:t>
      </w:r>
    </w:p>
    <w:p w:rsidR="007800EB" w:rsidRDefault="00D67590">
      <w:pPr>
        <w:overflowPunct w:val="0"/>
        <w:spacing w:line="600" w:lineRule="exact"/>
        <w:jc w:val="center"/>
        <w:outlineLvl w:val="0"/>
        <w:rPr>
          <w:rFonts w:ascii="仿宋_GB2312" w:eastAsia="仿宋_GB2312" w:hAnsi="仿宋_GB2312" w:cs="仿宋_GB2312"/>
          <w:sz w:val="32"/>
          <w:szCs w:val="32"/>
        </w:rPr>
      </w:pPr>
      <w:bookmarkStart w:id="43" w:name="_Toc26777"/>
      <w:r>
        <w:rPr>
          <w:rFonts w:ascii="黑体" w:eastAsia="黑体" w:hAnsi="黑体" w:cs="黑体" w:hint="eastAsia"/>
          <w:sz w:val="32"/>
          <w:szCs w:val="32"/>
        </w:rPr>
        <w:lastRenderedPageBreak/>
        <w:t>第三章 水利工程运行管理单位“</w:t>
      </w:r>
      <w:r>
        <w:rPr>
          <w:rFonts w:ascii="宋体" w:eastAsia="黑体" w:hAnsi="宋体" w:cs="黑体" w:hint="eastAsia"/>
          <w:sz w:val="32"/>
          <w:szCs w:val="32"/>
        </w:rPr>
        <w:t>六项机制”</w:t>
      </w:r>
      <w:bookmarkEnd w:id="13"/>
      <w:r>
        <w:rPr>
          <w:rFonts w:ascii="宋体" w:eastAsia="黑体" w:hAnsi="宋体" w:cs="黑体" w:hint="eastAsia"/>
          <w:sz w:val="32"/>
          <w:szCs w:val="32"/>
        </w:rPr>
        <w:t>工作要求</w:t>
      </w:r>
      <w:bookmarkEnd w:id="43"/>
    </w:p>
    <w:p w:rsidR="007800EB" w:rsidRDefault="007800EB">
      <w:pPr>
        <w:overflowPunct w:val="0"/>
        <w:spacing w:line="600" w:lineRule="exact"/>
        <w:ind w:firstLine="641"/>
        <w:outlineLvl w:val="1"/>
        <w:rPr>
          <w:rFonts w:ascii="黑体" w:eastAsia="黑体" w:hAnsi="黑体" w:cs="黑体"/>
          <w:sz w:val="32"/>
          <w:szCs w:val="32"/>
          <w:lang w:val="en"/>
        </w:rPr>
      </w:pPr>
      <w:bookmarkStart w:id="44" w:name="_Toc8028"/>
      <w:bookmarkStart w:id="45" w:name="_Toc11878"/>
    </w:p>
    <w:p w:rsidR="007800EB" w:rsidRDefault="00D67590">
      <w:pPr>
        <w:overflowPunct w:val="0"/>
        <w:spacing w:line="600" w:lineRule="exact"/>
        <w:ind w:firstLine="641"/>
        <w:outlineLvl w:val="1"/>
        <w:rPr>
          <w:rFonts w:ascii="黑体" w:eastAsia="黑体" w:hAnsi="黑体" w:cs="黑体"/>
          <w:sz w:val="32"/>
          <w:szCs w:val="32"/>
          <w:lang w:val="en"/>
        </w:rPr>
      </w:pPr>
      <w:r>
        <w:rPr>
          <w:rFonts w:ascii="黑体" w:eastAsia="黑体" w:hAnsi="黑体" w:cs="黑体"/>
          <w:sz w:val="32"/>
          <w:szCs w:val="32"/>
          <w:lang w:val="en"/>
        </w:rPr>
        <w:t>1</w:t>
      </w:r>
      <w:bookmarkEnd w:id="44"/>
      <w:r>
        <w:rPr>
          <w:rFonts w:ascii="黑体" w:eastAsia="黑体" w:hAnsi="黑体" w:cs="黑体"/>
          <w:sz w:val="32"/>
          <w:szCs w:val="32"/>
          <w:lang w:val="en"/>
        </w:rPr>
        <w:t xml:space="preserve"> 查找机制</w:t>
      </w:r>
      <w:bookmarkEnd w:id="45"/>
    </w:p>
    <w:p w:rsidR="007800EB" w:rsidRDefault="00D67590">
      <w:pPr>
        <w:overflowPunct w:val="0"/>
        <w:spacing w:line="600" w:lineRule="exact"/>
        <w:ind w:firstLineChars="200" w:firstLine="640"/>
        <w:outlineLvl w:val="2"/>
        <w:rPr>
          <w:rFonts w:ascii="楷体" w:eastAsia="楷体" w:hAnsi="楷体" w:cs="楷体"/>
          <w:color w:val="FF0000"/>
          <w:sz w:val="32"/>
          <w:szCs w:val="32"/>
        </w:rPr>
      </w:pPr>
      <w:bookmarkStart w:id="46" w:name="_Toc17576"/>
      <w:r>
        <w:rPr>
          <w:rFonts w:ascii="楷体" w:eastAsia="楷体" w:hAnsi="楷体" w:cs="楷体" w:hint="eastAsia"/>
          <w:sz w:val="32"/>
          <w:szCs w:val="32"/>
        </w:rPr>
        <w:t>1.1 建立安全风险分级管控制度</w:t>
      </w:r>
      <w:bookmarkEnd w:id="4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水利工程运行管理单位应建立安全风险分级管控制度，明确危险源辨识、风险评价、风险预警、风险管控的程序、方法、频次等。</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7" w:name="_Toc3989"/>
      <w:r>
        <w:rPr>
          <w:rFonts w:ascii="楷体" w:eastAsia="楷体" w:hAnsi="楷体" w:cs="楷体" w:hint="eastAsia"/>
          <w:sz w:val="32"/>
          <w:szCs w:val="32"/>
        </w:rPr>
        <w:t>1.2 开展危险源辨识</w:t>
      </w:r>
      <w:bookmarkEnd w:id="4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1.2.1 危险源辨识应确定危险源名称、所在位置、类别、级别、事故诱因、可能导致的后果。</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1.2.2 危险源辨识对象与范围应覆盖本单位所有区域、场所、部位和直接关联的外部环境；覆盖生产经营活动的所有工艺流程、设施、设备、工作面和管理体系；覆盖参与生产经营活动的所有部门、岗位和人员，以及生产经营活动涉及的所有危险物品。</w:t>
      </w:r>
    </w:p>
    <w:p w:rsidR="007800EB" w:rsidRDefault="00D67590">
      <w:pPr>
        <w:overflowPunct w:val="0"/>
        <w:spacing w:line="600" w:lineRule="exact"/>
        <w:ind w:firstLineChars="200" w:firstLine="640"/>
        <w:rPr>
          <w:rFonts w:ascii="仿宋_GB2312" w:eastAsia="仿宋_GB2312" w:hAnsi="仿宋_GB2312" w:cs="仿宋_GB2312"/>
          <w:sz w:val="32"/>
          <w:szCs w:val="32"/>
          <w:lang w:val="en"/>
        </w:rPr>
      </w:pPr>
      <w:r>
        <w:rPr>
          <w:rFonts w:ascii="仿宋_GB2312" w:eastAsia="仿宋_GB2312" w:hAnsi="仿宋_GB2312" w:cs="仿宋_GB2312" w:hint="eastAsia"/>
          <w:sz w:val="32"/>
          <w:szCs w:val="32"/>
        </w:rPr>
        <w:t>应将外委、外包、外租等项目、工作、场所纳入危险源辨识范围。</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1.2.3 危险源辨识可采取直接判定法、安全检查表法、预先危险性分析法及因果分析法等方法。应优先采用直接判定法，不能用直接判定法辨识的，可采用其他方法进行判定。</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水库、水闸、水电站、泵站、堤防、淤地坝、调水工程等工程运行管理单位应按照《水利水电工程（水库、水闸）运行危险源辨识与风险评价导则（试行）》《水利水电工程</w:t>
      </w:r>
      <w:r>
        <w:rPr>
          <w:rFonts w:ascii="仿宋_GB2312" w:eastAsia="仿宋_GB2312" w:hAnsi="仿宋_GB2312" w:cs="仿宋_GB2312" w:hint="eastAsia"/>
          <w:sz w:val="32"/>
          <w:szCs w:val="32"/>
        </w:rPr>
        <w:lastRenderedPageBreak/>
        <w:t>（水电站、泵站）运行危险源辨识与风险评价导则（试行）》《水利水电工程（堤防、淤地坝）运行危险源辨识与风险评价导则（试行）》《水利水电工程（调水工程）运行危险源辨识与风险评价导则（试行）》进行辨识。</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其他类别工程运行管理单位结合实际进行辨识。</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8" w:name="_Toc30625"/>
      <w:r>
        <w:rPr>
          <w:rFonts w:ascii="楷体" w:eastAsia="楷体" w:hAnsi="楷体" w:cs="楷体" w:hint="eastAsia"/>
          <w:sz w:val="32"/>
          <w:szCs w:val="32"/>
        </w:rPr>
        <w:t>1.3 建立危险源清单</w:t>
      </w:r>
      <w:bookmarkEnd w:id="48"/>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水利工程运行管理单位应编制本单位危险源清单（见附件A.1），包括危险源名称、类别、所在位置、级别、事故诱因、可能导致的后果等。</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49" w:name="_Toc20272"/>
      <w:r>
        <w:rPr>
          <w:rFonts w:ascii="楷体" w:eastAsia="楷体" w:hAnsi="楷体" w:cs="楷体" w:hint="eastAsia"/>
          <w:sz w:val="32"/>
          <w:szCs w:val="32"/>
        </w:rPr>
        <w:t>1.4 动态辨识</w:t>
      </w:r>
      <w:bookmarkEnd w:id="4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hAnsi="仿宋_GB2312" w:hint="eastAsia"/>
          <w:sz w:val="32"/>
          <w:szCs w:val="32"/>
        </w:rPr>
        <w:t xml:space="preserve">1.4.1 </w:t>
      </w:r>
      <w:r>
        <w:rPr>
          <w:rFonts w:ascii="仿宋_GB2312" w:eastAsia="仿宋_GB2312" w:hAnsi="仿宋_GB2312" w:cs="仿宋_GB2312" w:hint="eastAsia"/>
          <w:sz w:val="32"/>
          <w:szCs w:val="32"/>
        </w:rPr>
        <w:t>根据本单位安全风险分级管控制度确定的危险源辨识周期开展动态辨识，动态辨识每季度应至少开展一次。</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1.4.2 发生下列情形时，应及时组织重新辨识：</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①相关法律法规、技术标准发布（修订）。</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②构（建）筑物、机械设备、金属结构、设施场所、作业活动、作业环境、生产工艺、管理体系等相关要素发生较大变化。</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③发生生产安全事故。</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④对首次采用尚无相关技术标准的新技术、新材料、新设备、新工艺的部位或项目。</w:t>
      </w:r>
    </w:p>
    <w:p w:rsidR="007800EB" w:rsidRDefault="00D67590">
      <w:pPr>
        <w:overflowPunct w:val="0"/>
        <w:spacing w:line="600" w:lineRule="exact"/>
        <w:ind w:firstLineChars="200" w:firstLine="640"/>
        <w:rPr>
          <w:rFonts w:ascii="仿宋_GB2312" w:eastAsia="仿宋_GB2312" w:hAnsi="仿宋_GB2312" w:cs="仿宋_GB2312"/>
          <w:strike/>
          <w:sz w:val="32"/>
          <w:szCs w:val="32"/>
        </w:rPr>
      </w:pPr>
      <w:r>
        <w:rPr>
          <w:rFonts w:ascii="仿宋_GB2312" w:eastAsia="仿宋_GB2312" w:hAnsi="仿宋_GB2312" w:cs="仿宋_GB2312" w:hint="eastAsia"/>
          <w:sz w:val="32"/>
          <w:szCs w:val="32"/>
        </w:rPr>
        <w:t>⑤上级主管部门监督检查中发现新的重大风险危险源。</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50" w:name="_Toc6879"/>
      <w:r>
        <w:rPr>
          <w:rFonts w:ascii="方正黑体_GBK" w:eastAsia="方正黑体_GBK" w:hAnsi="方正黑体_GBK" w:cs="方正黑体_GBK" w:hint="eastAsia"/>
          <w:sz w:val="32"/>
          <w:szCs w:val="32"/>
        </w:rPr>
        <w:t xml:space="preserve">2 </w:t>
      </w:r>
      <w:proofErr w:type="gramStart"/>
      <w:r>
        <w:rPr>
          <w:rFonts w:ascii="方正黑体_GBK" w:eastAsia="方正黑体_GBK" w:hAnsi="方正黑体_GBK" w:cs="方正黑体_GBK" w:hint="eastAsia"/>
          <w:sz w:val="32"/>
          <w:szCs w:val="32"/>
        </w:rPr>
        <w:t>研</w:t>
      </w:r>
      <w:proofErr w:type="gramEnd"/>
      <w:r>
        <w:rPr>
          <w:rFonts w:ascii="方正黑体_GBK" w:eastAsia="方正黑体_GBK" w:hAnsi="方正黑体_GBK" w:cs="方正黑体_GBK" w:hint="eastAsia"/>
          <w:sz w:val="32"/>
          <w:szCs w:val="32"/>
        </w:rPr>
        <w:t>判机制</w:t>
      </w:r>
      <w:bookmarkEnd w:id="50"/>
    </w:p>
    <w:p w:rsidR="007800EB" w:rsidRDefault="00D67590">
      <w:pPr>
        <w:overflowPunct w:val="0"/>
        <w:spacing w:line="600" w:lineRule="exact"/>
        <w:ind w:firstLineChars="200" w:firstLine="640"/>
        <w:outlineLvl w:val="2"/>
        <w:rPr>
          <w:rFonts w:ascii="楷体" w:eastAsia="楷体" w:hAnsi="楷体" w:cs="楷体"/>
          <w:sz w:val="32"/>
          <w:szCs w:val="32"/>
        </w:rPr>
      </w:pPr>
      <w:bookmarkStart w:id="51" w:name="_Toc31856"/>
      <w:r>
        <w:rPr>
          <w:rFonts w:ascii="楷体" w:eastAsia="楷体" w:hAnsi="楷体" w:cs="楷体" w:hint="eastAsia"/>
          <w:sz w:val="32"/>
          <w:szCs w:val="32"/>
        </w:rPr>
        <w:lastRenderedPageBreak/>
        <w:t>2.1 评价风险等级</w:t>
      </w:r>
      <w:bookmarkEnd w:id="5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2.1.1 水利工程运行管理单位应对所辨识危险源的风险等级逐一进行评价。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2.1.2 危险源的风险等级由高到低依次为重大风险、较大风险、一般风险和低风险四个等级。重大危险源的风险等级直接评定为重大风险；一般危险源可以采用作业条件危险性分析法（LEC）、风险矩阵法（LS）等方法进行分析判定。一般危险源风险评价</w:t>
      </w:r>
      <w:proofErr w:type="gramStart"/>
      <w:r>
        <w:rPr>
          <w:rFonts w:ascii="仿宋_GB2312" w:eastAsia="仿宋_GB2312" w:hAnsi="仿宋_GB2312" w:cs="仿宋_GB2312" w:hint="eastAsia"/>
          <w:sz w:val="32"/>
          <w:szCs w:val="32"/>
        </w:rPr>
        <w:t>打分表</w:t>
      </w:r>
      <w:proofErr w:type="gramEnd"/>
      <w:r>
        <w:rPr>
          <w:rFonts w:ascii="仿宋_GB2312" w:eastAsia="仿宋_GB2312" w:hAnsi="仿宋_GB2312" w:cs="仿宋_GB2312" w:hint="eastAsia"/>
          <w:sz w:val="32"/>
          <w:szCs w:val="32"/>
        </w:rPr>
        <w:t>参考格式见附件A.2。</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52" w:name="_Toc6825"/>
      <w:bookmarkStart w:id="53" w:name="_Toc5842"/>
      <w:r>
        <w:rPr>
          <w:rFonts w:ascii="楷体" w:eastAsia="楷体" w:hAnsi="楷体" w:cs="楷体" w:hint="eastAsia"/>
          <w:sz w:val="32"/>
          <w:szCs w:val="32"/>
        </w:rPr>
        <w:t>2.2 建立重大风险危险源专项档案</w:t>
      </w:r>
      <w:bookmarkEnd w:id="52"/>
      <w:bookmarkEnd w:id="53"/>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水利工程运行管理单位应对本单位所有重大风险危险源建立专项档案，专项</w:t>
      </w:r>
      <w:r>
        <w:rPr>
          <w:rFonts w:ascii="仿宋_GB2312" w:eastAsia="仿宋_GB2312" w:hAnsi="仿宋_GB2312" w:cs="仿宋_GB2312"/>
          <w:sz w:val="32"/>
          <w:szCs w:val="32"/>
        </w:rPr>
        <w:t>档案包括但不限于</w:t>
      </w:r>
      <w:r>
        <w:rPr>
          <w:rFonts w:ascii="仿宋_GB2312" w:eastAsia="仿宋_GB2312" w:hAnsi="仿宋_GB2312" w:cs="仿宋_GB2312" w:hint="eastAsia"/>
          <w:sz w:val="32"/>
          <w:szCs w:val="32"/>
        </w:rPr>
        <w:t>重大风险</w:t>
      </w:r>
      <w:r>
        <w:rPr>
          <w:rFonts w:ascii="仿宋_GB2312" w:eastAsia="仿宋_GB2312" w:hAnsi="仿宋_GB2312" w:cs="仿宋_GB2312"/>
          <w:sz w:val="32"/>
          <w:szCs w:val="32"/>
        </w:rPr>
        <w:t>危险</w:t>
      </w:r>
      <w:proofErr w:type="gramStart"/>
      <w:r>
        <w:rPr>
          <w:rFonts w:ascii="仿宋_GB2312" w:eastAsia="仿宋_GB2312" w:hAnsi="仿宋_GB2312" w:cs="仿宋_GB2312"/>
          <w:sz w:val="32"/>
          <w:szCs w:val="32"/>
        </w:rPr>
        <w:t>源基本</w:t>
      </w:r>
      <w:proofErr w:type="gramEnd"/>
      <w:r>
        <w:rPr>
          <w:rFonts w:ascii="仿宋_GB2312" w:eastAsia="仿宋_GB2312" w:hAnsi="仿宋_GB2312" w:cs="仿宋_GB2312"/>
          <w:sz w:val="32"/>
          <w:szCs w:val="32"/>
        </w:rPr>
        <w:t>情况、安全管理制度及安全操作规程、安全监测监控记录、安全</w:t>
      </w:r>
      <w:r>
        <w:rPr>
          <w:rFonts w:ascii="仿宋_GB2312" w:eastAsia="仿宋_GB2312" w:hAnsi="仿宋_GB2312" w:cs="仿宋_GB2312" w:hint="eastAsia"/>
          <w:sz w:val="32"/>
          <w:szCs w:val="32"/>
        </w:rPr>
        <w:t>风险</w:t>
      </w:r>
      <w:r>
        <w:rPr>
          <w:rFonts w:ascii="仿宋_GB2312" w:eastAsia="仿宋_GB2312" w:hAnsi="仿宋_GB2312" w:cs="仿宋_GB2312"/>
          <w:sz w:val="32"/>
          <w:szCs w:val="32"/>
        </w:rPr>
        <w:t>警示</w:t>
      </w:r>
      <w:r>
        <w:rPr>
          <w:rFonts w:ascii="仿宋_GB2312" w:eastAsia="仿宋_GB2312" w:hAnsi="仿宋_GB2312" w:cs="仿宋_GB2312" w:hint="eastAsia"/>
          <w:sz w:val="32"/>
          <w:szCs w:val="32"/>
        </w:rPr>
        <w:t>牌</w:t>
      </w:r>
      <w:r>
        <w:rPr>
          <w:rFonts w:ascii="仿宋_GB2312" w:eastAsia="仿宋_GB2312" w:hAnsi="仿宋_GB2312" w:cs="仿宋_GB2312"/>
          <w:sz w:val="32"/>
          <w:szCs w:val="32"/>
        </w:rPr>
        <w:t>设置</w:t>
      </w:r>
      <w:r>
        <w:rPr>
          <w:rFonts w:ascii="仿宋_GB2312" w:eastAsia="仿宋_GB2312" w:hAnsi="仿宋_GB2312" w:cs="仿宋_GB2312" w:hint="eastAsia"/>
          <w:sz w:val="32"/>
          <w:szCs w:val="32"/>
        </w:rPr>
        <w:t>记录</w:t>
      </w:r>
      <w:r>
        <w:rPr>
          <w:rFonts w:ascii="仿宋_GB2312" w:eastAsia="仿宋_GB2312" w:hAnsi="仿宋_GB2312" w:cs="仿宋_GB2312"/>
          <w:sz w:val="32"/>
          <w:szCs w:val="32"/>
        </w:rPr>
        <w:t>、维修养护记录、“一源一案”及应急演练记录等资料。</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54" w:name="_Toc9118"/>
      <w:r>
        <w:rPr>
          <w:rFonts w:ascii="方正黑体_GBK" w:eastAsia="方正黑体_GBK" w:hAnsi="方正黑体_GBK" w:cs="方正黑体_GBK" w:hint="eastAsia"/>
          <w:sz w:val="32"/>
          <w:szCs w:val="32"/>
        </w:rPr>
        <w:t>3 预警机制</w:t>
      </w:r>
      <w:bookmarkEnd w:id="54"/>
    </w:p>
    <w:p w:rsidR="007800EB" w:rsidRDefault="00D67590">
      <w:pPr>
        <w:overflowPunct w:val="0"/>
        <w:spacing w:line="600" w:lineRule="exact"/>
        <w:ind w:firstLineChars="200" w:firstLine="640"/>
        <w:outlineLvl w:val="2"/>
        <w:rPr>
          <w:rFonts w:ascii="楷体" w:eastAsia="楷体" w:hAnsi="楷体" w:cs="楷体"/>
          <w:sz w:val="32"/>
          <w:szCs w:val="32"/>
        </w:rPr>
      </w:pPr>
      <w:bookmarkStart w:id="55" w:name="_Toc24020"/>
      <w:r>
        <w:rPr>
          <w:rFonts w:ascii="楷体" w:eastAsia="楷体" w:hAnsi="楷体" w:cs="楷体" w:hint="eastAsia"/>
          <w:sz w:val="32"/>
          <w:szCs w:val="32"/>
        </w:rPr>
        <w:t>3.1 落实监测监控措施</w:t>
      </w:r>
      <w:bookmarkEnd w:id="5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3.1.1 水利工程运行管理单位应对较大及以上风险危险源逐一明确监测监控措施、监测频次、监测指标及预警阈值，建立危险源监控清单（见附件A.3）。</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3.1.2 水利工程运行管理单位应优先采用自动监测方式，如大坝安全监测、雨水情测报、AI视频监控、火灾自动报警等信息化、自动化、智能化监测设施设备，加强对危险源特别是重大风险危险源的监测监控，重点覆盖如水库水</w:t>
      </w:r>
      <w:r>
        <w:rPr>
          <w:rFonts w:ascii="仿宋_GB2312" w:eastAsia="仿宋_GB2312" w:hAnsi="仿宋_GB2312" w:cs="仿宋_GB2312" w:hint="eastAsia"/>
          <w:sz w:val="32"/>
          <w:szCs w:val="32"/>
        </w:rPr>
        <w:lastRenderedPageBreak/>
        <w:t>位、闸门、启闭机、压力钢管、电气设备、燃气消防、危险物品和有毒有害气体等直接关系安全、失守后可能造成重大损失或连锁反应的关键位置和环节，合理确定监测监控措施、频次、指标及预警阈值，并按照规定开展人工校核，确保监测设施设备正常运行。</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3.1.3 水利工程运行管理单位应按照确定的监测监控要求开展工作，记录保存监测监控、值班值守、巡查检查及设备设施维护保养等资料。</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56" w:name="_Toc28695"/>
      <w:r>
        <w:rPr>
          <w:rFonts w:ascii="楷体" w:eastAsia="楷体" w:hAnsi="楷体" w:cs="楷体" w:hint="eastAsia"/>
          <w:sz w:val="32"/>
          <w:szCs w:val="32"/>
        </w:rPr>
        <w:t>3.2 严格值班值守</w:t>
      </w:r>
      <w:bookmarkEnd w:id="5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3.2.1 水利工程运行管理单位应建立值班值守制度和事故信息报告制度，制定值班计划和人员安排表，值班人员应规范填写值班、交接班等记录。</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3.2.2 落实本单位各部门和属地水行政主管部门、应急管理部门以及应急救援队伍的常用、备用联系方式特别是值班联系方式，保持通信联络和信息渠道畅通。</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3.2.3 水利工程运行管理单位应加强对值班人员的培训、管理和考核，确保值班人员掌握必要的预警和应急处置知识，及时妥善处置相关情况，并做好详细记录。</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57" w:name="_Toc3726"/>
      <w:r>
        <w:rPr>
          <w:rFonts w:ascii="楷体" w:eastAsia="楷体" w:hAnsi="楷体" w:cs="楷体" w:hint="eastAsia"/>
          <w:sz w:val="32"/>
          <w:szCs w:val="32"/>
        </w:rPr>
        <w:t>3.3 及时实施预警</w:t>
      </w:r>
      <w:bookmarkEnd w:id="5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3.3.1 当危险源监测指标值超过监测预警阈值后，水利工程运行管理单位应立即采取相应管控措施和应急处置措施。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3.3.2 当风险得到有效控制后，水利工程运行管理单位</w:t>
      </w:r>
      <w:r>
        <w:rPr>
          <w:rFonts w:ascii="仿宋_GB2312" w:eastAsia="仿宋_GB2312" w:hAnsi="仿宋_GB2312" w:cs="仿宋_GB2312" w:hint="eastAsia"/>
          <w:sz w:val="32"/>
          <w:szCs w:val="32"/>
        </w:rPr>
        <w:lastRenderedPageBreak/>
        <w:t>应解除预警，并认真总结查找管控体系和管控措施存在的问题和不足，完善相关措施。</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58" w:name="_Toc11158"/>
      <w:bookmarkStart w:id="59" w:name="_Toc31054"/>
      <w:r>
        <w:rPr>
          <w:rFonts w:ascii="方正黑体_GBK" w:eastAsia="方正黑体_GBK" w:hAnsi="方正黑体_GBK" w:cs="方正黑体_GBK" w:hint="eastAsia"/>
          <w:sz w:val="32"/>
          <w:szCs w:val="32"/>
        </w:rPr>
        <w:t>4 防范机制</w:t>
      </w:r>
      <w:bookmarkEnd w:id="58"/>
    </w:p>
    <w:p w:rsidR="007800EB" w:rsidRDefault="00D67590">
      <w:pPr>
        <w:overflowPunct w:val="0"/>
        <w:spacing w:line="600" w:lineRule="exact"/>
        <w:ind w:firstLineChars="200" w:firstLine="640"/>
        <w:outlineLvl w:val="2"/>
        <w:rPr>
          <w:rFonts w:ascii="楷体" w:eastAsia="楷体" w:hAnsi="楷体" w:cs="楷体"/>
          <w:sz w:val="32"/>
          <w:szCs w:val="32"/>
        </w:rPr>
      </w:pPr>
      <w:bookmarkStart w:id="60" w:name="_Toc17057"/>
      <w:r>
        <w:rPr>
          <w:rFonts w:ascii="楷体" w:eastAsia="楷体" w:hAnsi="楷体" w:cs="楷体" w:hint="eastAsia"/>
          <w:sz w:val="32"/>
          <w:szCs w:val="32"/>
        </w:rPr>
        <w:t>4.1 落实风险分级管控责任</w:t>
      </w:r>
      <w:bookmarkEnd w:id="6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 危险</w:t>
      </w:r>
      <w:proofErr w:type="gramStart"/>
      <w:r>
        <w:rPr>
          <w:rFonts w:ascii="仿宋_GB2312" w:eastAsia="仿宋_GB2312" w:hAnsi="仿宋_GB2312" w:cs="仿宋_GB2312" w:hint="eastAsia"/>
          <w:sz w:val="32"/>
          <w:szCs w:val="32"/>
        </w:rPr>
        <w:t>源实行</w:t>
      </w:r>
      <w:proofErr w:type="gramEnd"/>
      <w:r>
        <w:rPr>
          <w:rFonts w:ascii="仿宋_GB2312" w:eastAsia="仿宋_GB2312" w:hAnsi="仿宋_GB2312" w:cs="仿宋_GB2312" w:hint="eastAsia"/>
          <w:sz w:val="32"/>
          <w:szCs w:val="32"/>
        </w:rPr>
        <w:t>分级管控，根据本单位组织机构设置情况，确定每个危险源的现场管控责任人、组织管控责任人、监督责任人。</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4.1.1.1 危险源的现场管控责任人应由一线员工担任。</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4.1.1.2 水利工程运行管理单位组织管控责任人和监督责任人按以下原则确定：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①重大风险危险源：由单位主要负责人组织管控，属地水行政主管部门或部直属单位监督。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②较大风险危险源：由单位分管运管或有关部门的负责人组织管控，分管安全管理部门的负责人协助主要负责人监督。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③一般风险和低风险危险源：由单位运管或有关部门负责人组织管控，安全管理部门负责人协助其分管领导监督。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4.1.1.3 水利工程日常运行管理委托第三方代管的，组织管控责任人和监督责任人按以下原则确定：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①重大风险危险源：由运行管理单位主要负责人会同代管单位主要负责人组织管控，属地水行政主管部门或部直属单位监督。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②较大风险危险源：由代管单位分管运管或有关部门的</w:t>
      </w:r>
      <w:r>
        <w:rPr>
          <w:rFonts w:ascii="仿宋_GB2312" w:eastAsia="仿宋_GB2312" w:hAnsi="仿宋_GB2312" w:cs="仿宋_GB2312" w:hint="eastAsia"/>
          <w:sz w:val="32"/>
          <w:szCs w:val="32"/>
        </w:rPr>
        <w:lastRenderedPageBreak/>
        <w:t>负责人组织管控，分管安全管理部门的负责人协助主要负责人监督。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③一般风险和低风险危险源：由代管单位运管或有关部门负责人组织管控，安全管理部门负责人协助其分管领导监督。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4.1.1.4 当某一等级风险缺少所对应的管控层级或不属于对应管控</w:t>
      </w:r>
      <w:proofErr w:type="gramStart"/>
      <w:r>
        <w:rPr>
          <w:rFonts w:ascii="仿宋_GB2312" w:eastAsia="仿宋_GB2312" w:hAnsi="仿宋_GB2312" w:cs="仿宋_GB2312" w:hint="eastAsia"/>
          <w:sz w:val="32"/>
          <w:szCs w:val="32"/>
        </w:rPr>
        <w:t>层级职能</w:t>
      </w:r>
      <w:proofErr w:type="gramEnd"/>
      <w:r>
        <w:rPr>
          <w:rFonts w:ascii="仿宋_GB2312" w:eastAsia="仿宋_GB2312" w:hAnsi="仿宋_GB2312" w:cs="仿宋_GB2312" w:hint="eastAsia"/>
          <w:sz w:val="32"/>
          <w:szCs w:val="32"/>
        </w:rPr>
        <w:t>范围时，水利工程运行管理单位应当明确对应层级的管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主体或由上一级具有管</w:t>
      </w:r>
      <w:proofErr w:type="gramStart"/>
      <w:r>
        <w:rPr>
          <w:rFonts w:ascii="仿宋_GB2312" w:eastAsia="仿宋_GB2312" w:hAnsi="仿宋_GB2312" w:cs="仿宋_GB2312" w:hint="eastAsia"/>
          <w:sz w:val="32"/>
          <w:szCs w:val="32"/>
        </w:rPr>
        <w:t>控职能</w:t>
      </w:r>
      <w:proofErr w:type="gramEnd"/>
      <w:r>
        <w:rPr>
          <w:rFonts w:ascii="仿宋_GB2312" w:eastAsia="仿宋_GB2312" w:hAnsi="仿宋_GB2312" w:cs="仿宋_GB2312" w:hint="eastAsia"/>
          <w:sz w:val="32"/>
          <w:szCs w:val="32"/>
        </w:rPr>
        <w:t>的层级进行提级管控。</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4.1.2 水利工程运行管理单位应编制本单位风险分级管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表（见附件A.4）。</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61" w:name="_Toc27849"/>
      <w:r>
        <w:rPr>
          <w:rFonts w:ascii="楷体" w:eastAsia="楷体" w:hAnsi="楷体" w:cs="楷体" w:hint="eastAsia"/>
          <w:sz w:val="32"/>
          <w:szCs w:val="32"/>
        </w:rPr>
        <w:t>4.2 落实风险管控措施</w:t>
      </w:r>
      <w:bookmarkEnd w:id="6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4.2.1 水利工程运行管理单位应采取符合相应法律法规、标准规范和危险源实际情况，实用管用的风险管控措施。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4.2.2 风险管控措施应由水利工程运行管理单位安全生产分管负责人组织各有关部门负责人、专业技术人员、一线员工共同研究制定。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较大及以上风险危险源管控措施应逐一制定，一般风险和低风险危险源管控措施可根据实际情况适当合并，建立危险源管控措施清单（见附件A.5）。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 危险</w:t>
      </w:r>
      <w:proofErr w:type="gramStart"/>
      <w:r>
        <w:rPr>
          <w:rFonts w:ascii="仿宋_GB2312" w:eastAsia="仿宋_GB2312" w:hAnsi="仿宋_GB2312" w:cs="仿宋_GB2312" w:hint="eastAsia"/>
          <w:sz w:val="32"/>
          <w:szCs w:val="32"/>
        </w:rPr>
        <w:t>源风险管</w:t>
      </w:r>
      <w:proofErr w:type="gramEnd"/>
      <w:r>
        <w:rPr>
          <w:rFonts w:ascii="仿宋_GB2312" w:eastAsia="仿宋_GB2312" w:hAnsi="仿宋_GB2312" w:cs="仿宋_GB2312" w:hint="eastAsia"/>
          <w:sz w:val="32"/>
          <w:szCs w:val="32"/>
        </w:rPr>
        <w:t>控措施包括但不限于风险公告、工程技术、管理、教育培训、个体防护和应急处置等措施。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 风险公告措施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4.2.3.1.1 水利工程运行管理单位应根据本单位实际，设置安全风险空间分布图、安全风险公告栏、重大风险警示牌、岗位风险告知卡、安全警示标志等。安全风险空间分布图、安全风险公告栏、重大风险警示牌、岗位风险</w:t>
      </w:r>
      <w:proofErr w:type="gramStart"/>
      <w:r>
        <w:rPr>
          <w:rFonts w:ascii="仿宋_GB2312" w:eastAsia="仿宋_GB2312" w:hAnsi="仿宋_GB2312" w:cs="仿宋_GB2312" w:hint="eastAsia"/>
          <w:sz w:val="32"/>
          <w:szCs w:val="32"/>
        </w:rPr>
        <w:t>告知卡</w:t>
      </w:r>
      <w:proofErr w:type="gramEnd"/>
      <w:r>
        <w:rPr>
          <w:rFonts w:ascii="仿宋_GB2312" w:eastAsia="仿宋_GB2312" w:hAnsi="仿宋_GB2312" w:cs="仿宋_GB2312" w:hint="eastAsia"/>
          <w:sz w:val="32"/>
          <w:szCs w:val="32"/>
        </w:rPr>
        <w:t>的设置，各地已有相关规定的从其规定。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安全风险空间分布图。安全风险空间分布图以平面图等形式呈现工程现场不同风险等级区域的分布情况，一般设置于单位入口处或其他醒目位置，其中重大风险区标为红色、较大风险区为橙色、一般风险区为黄色、低风险区为蓝色（示例见附件B.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②</w:t>
      </w:r>
      <w:r>
        <w:rPr>
          <w:rFonts w:ascii="仿宋_GB2312" w:eastAsia="仿宋_GB2312" w:hAnsi="仿宋_GB2312" w:cs="仿宋_GB2312" w:hint="eastAsia"/>
          <w:sz w:val="32"/>
          <w:szCs w:val="32"/>
        </w:rPr>
        <w:t>安全风险公告栏。安全风险公告栏是对管理范围内的重大风险进行告知，一般设置于单位入口处或其他醒目位置，主要内容包括危险源名称、所在位置、类别、级别、风险等级、事故诱因、可能导致的后果、管控责任人（监督责任人、组织管控责任人、现场管控责任人）及报告电话等内容（示例见附件B.2）。</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③</w:t>
      </w:r>
      <w:r>
        <w:rPr>
          <w:rFonts w:ascii="仿宋_GB2312" w:eastAsia="仿宋_GB2312" w:hAnsi="仿宋_GB2312" w:cs="仿宋_GB2312" w:hint="eastAsia"/>
          <w:sz w:val="32"/>
          <w:szCs w:val="32"/>
        </w:rPr>
        <w:t>重大风险警示牌。重大风险警示牌是对重大风险危险源进行警示，一般设置于重大风险危险源所在场所的醒目位置，主要内容包括危险源名称、级别、风险等级、所在部位、事故诱因、可能导致的后果、管控措施、应急措施、管控责任人、报告电话等信息（示例见附件B.3）。</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④</w:t>
      </w:r>
      <w:r>
        <w:rPr>
          <w:rFonts w:ascii="仿宋_GB2312" w:eastAsia="仿宋_GB2312" w:hAnsi="仿宋_GB2312" w:cs="仿宋_GB2312" w:hint="eastAsia"/>
          <w:sz w:val="32"/>
          <w:szCs w:val="32"/>
        </w:rPr>
        <w:t>岗位风险告知卡。</w:t>
      </w:r>
      <w:r>
        <w:rPr>
          <w:rFonts w:ascii="仿宋_GB2312" w:eastAsia="仿宋_GB2312" w:hAnsi="仿宋_GB2312" w:cs="仿宋_GB2312"/>
          <w:sz w:val="32"/>
          <w:szCs w:val="32"/>
        </w:rPr>
        <w:t>岗位风险</w:t>
      </w:r>
      <w:proofErr w:type="gramStart"/>
      <w:r>
        <w:rPr>
          <w:rFonts w:ascii="仿宋_GB2312" w:eastAsia="仿宋_GB2312" w:hAnsi="仿宋_GB2312" w:cs="仿宋_GB2312"/>
          <w:sz w:val="32"/>
          <w:szCs w:val="32"/>
        </w:rPr>
        <w:t>告知卡</w:t>
      </w:r>
      <w:proofErr w:type="gramEnd"/>
      <w:r>
        <w:rPr>
          <w:rFonts w:ascii="仿宋_GB2312" w:eastAsia="仿宋_GB2312" w:hAnsi="仿宋_GB2312" w:cs="仿宋_GB2312"/>
          <w:sz w:val="32"/>
          <w:szCs w:val="32"/>
        </w:rPr>
        <w:t>是对</w:t>
      </w:r>
      <w:r>
        <w:rPr>
          <w:rFonts w:ascii="仿宋_GB2312" w:eastAsia="仿宋_GB2312" w:hAnsi="仿宋_GB2312" w:cs="仿宋_GB2312" w:hint="eastAsia"/>
          <w:sz w:val="32"/>
          <w:szCs w:val="32"/>
        </w:rPr>
        <w:t>本单位</w:t>
      </w:r>
      <w:r>
        <w:rPr>
          <w:rFonts w:ascii="仿宋_GB2312" w:eastAsia="仿宋_GB2312" w:hAnsi="仿宋_GB2312" w:cs="仿宋_GB2312"/>
          <w:sz w:val="32"/>
          <w:szCs w:val="32"/>
        </w:rPr>
        <w:t>具体</w:t>
      </w:r>
      <w:r>
        <w:rPr>
          <w:rFonts w:ascii="仿宋_GB2312" w:eastAsia="仿宋_GB2312" w:hAnsi="仿宋_GB2312" w:cs="仿宋_GB2312" w:hint="eastAsia"/>
          <w:sz w:val="32"/>
          <w:szCs w:val="32"/>
        </w:rPr>
        <w:t>工作</w:t>
      </w:r>
      <w:r>
        <w:rPr>
          <w:rFonts w:ascii="仿宋_GB2312" w:eastAsia="仿宋_GB2312" w:hAnsi="仿宋_GB2312" w:cs="仿宋_GB2312"/>
          <w:sz w:val="32"/>
          <w:szCs w:val="32"/>
        </w:rPr>
        <w:t>岗位进行风险告知，</w:t>
      </w:r>
      <w:r>
        <w:rPr>
          <w:rFonts w:ascii="仿宋_GB2312" w:eastAsia="仿宋_GB2312" w:hAnsi="仿宋_GB2312" w:cs="仿宋_GB2312" w:hint="eastAsia"/>
          <w:sz w:val="32"/>
          <w:szCs w:val="32"/>
        </w:rPr>
        <w:t>设置于岗位工作场所或由从业人员随</w:t>
      </w:r>
      <w:r>
        <w:rPr>
          <w:rFonts w:ascii="仿宋_GB2312" w:eastAsia="仿宋_GB2312" w:hAnsi="仿宋_GB2312" w:cs="仿宋_GB2312" w:hint="eastAsia"/>
          <w:sz w:val="32"/>
          <w:szCs w:val="32"/>
        </w:rPr>
        <w:lastRenderedPageBreak/>
        <w:t>身携带，</w:t>
      </w:r>
      <w:r>
        <w:rPr>
          <w:rFonts w:ascii="仿宋_GB2312" w:eastAsia="仿宋_GB2312" w:hAnsi="仿宋_GB2312" w:cs="仿宋_GB2312"/>
          <w:sz w:val="32"/>
          <w:szCs w:val="32"/>
        </w:rPr>
        <w:t>主要包括岗位名称、涉及的</w:t>
      </w:r>
      <w:r>
        <w:rPr>
          <w:rFonts w:ascii="仿宋_GB2312" w:eastAsia="仿宋_GB2312" w:hAnsi="仿宋_GB2312" w:cs="仿宋_GB2312" w:hint="eastAsia"/>
          <w:sz w:val="32"/>
          <w:szCs w:val="32"/>
        </w:rPr>
        <w:t>主要</w:t>
      </w:r>
      <w:r>
        <w:rPr>
          <w:rFonts w:ascii="仿宋_GB2312" w:eastAsia="仿宋_GB2312" w:hAnsi="仿宋_GB2312" w:cs="仿宋_GB2312"/>
          <w:sz w:val="32"/>
          <w:szCs w:val="32"/>
        </w:rPr>
        <w:t>危险源、事故诱因、可能导致的后果、安全操作要点以及风险防范、应急处置措施、报告电话等内容</w:t>
      </w:r>
      <w:r>
        <w:rPr>
          <w:rFonts w:ascii="仿宋_GB2312" w:eastAsia="仿宋_GB2312" w:hAnsi="仿宋_GB2312" w:cs="仿宋_GB2312" w:hint="eastAsia"/>
          <w:sz w:val="32"/>
          <w:szCs w:val="32"/>
        </w:rPr>
        <w:t>（示例见附件B.4）。</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⑤</w:t>
      </w:r>
      <w:r>
        <w:rPr>
          <w:rFonts w:ascii="仿宋_GB2312" w:eastAsia="仿宋_GB2312" w:hAnsi="仿宋_GB2312" w:cs="仿宋_GB2312" w:hint="eastAsia"/>
          <w:sz w:val="32"/>
          <w:szCs w:val="32"/>
        </w:rPr>
        <w:t>安全警示标志。安全警示标志应设置于存在较大及以上风险危险源的工作场所和岗位。安全警示标志的内容、规格、颜色、材质、设置高度等应符合《图形符号 安全色和安全标志 第5部分:安全标志使用原则与要求》（GB/T 2893.5—2020）、《安全标志及其使用导则》（GB 2894—2008）、《消防安全标志 第1部分：标志》（GB 13495.1—2015）等要求。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4.2.3.1.2 风险公告措施应</w:t>
      </w:r>
      <w:proofErr w:type="gramStart"/>
      <w:r>
        <w:rPr>
          <w:rFonts w:ascii="仿宋_GB2312" w:eastAsia="仿宋_GB2312" w:hAnsi="仿宋_GB2312" w:cs="仿宋_GB2312" w:hint="eastAsia"/>
          <w:sz w:val="32"/>
          <w:szCs w:val="32"/>
        </w:rPr>
        <w:t>随危险</w:t>
      </w:r>
      <w:proofErr w:type="gramEnd"/>
      <w:r>
        <w:rPr>
          <w:rFonts w:ascii="仿宋_GB2312" w:eastAsia="仿宋_GB2312" w:hAnsi="仿宋_GB2312" w:cs="仿宋_GB2312" w:hint="eastAsia"/>
          <w:sz w:val="32"/>
          <w:szCs w:val="32"/>
        </w:rPr>
        <w:t>源和风险的动态变化及时更新。</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4.2.3.1.3 水利工程运行管理单位应通过讲解、语音广播、风险告知书等多种形式，</w:t>
      </w:r>
      <w:r>
        <w:rPr>
          <w:rFonts w:ascii="仿宋_GB2312" w:eastAsia="仿宋_GB2312" w:hAnsi="仿宋_GB2312" w:cs="仿宋_GB2312"/>
          <w:sz w:val="32"/>
          <w:szCs w:val="32"/>
        </w:rPr>
        <w:t>及时</w:t>
      </w:r>
      <w:r>
        <w:rPr>
          <w:rFonts w:ascii="仿宋_GB2312" w:eastAsia="仿宋_GB2312" w:hAnsi="仿宋_GB2312" w:cs="仿宋_GB2312" w:hint="eastAsia"/>
          <w:sz w:val="32"/>
          <w:szCs w:val="32"/>
        </w:rPr>
        <w:t>向本单位从业人员和外来人员</w:t>
      </w:r>
      <w:r>
        <w:rPr>
          <w:rFonts w:ascii="仿宋_GB2312" w:eastAsia="仿宋_GB2312" w:hAnsi="仿宋_GB2312" w:cs="仿宋_GB2312"/>
          <w:sz w:val="32"/>
          <w:szCs w:val="32"/>
        </w:rPr>
        <w:t>告知</w:t>
      </w:r>
      <w:r>
        <w:rPr>
          <w:rFonts w:ascii="仿宋_GB2312" w:eastAsia="仿宋_GB2312" w:hAnsi="仿宋_GB2312" w:cs="仿宋_GB2312" w:hint="eastAsia"/>
          <w:sz w:val="32"/>
          <w:szCs w:val="32"/>
        </w:rPr>
        <w:t>安全</w:t>
      </w:r>
      <w:r>
        <w:rPr>
          <w:rFonts w:ascii="仿宋_GB2312" w:eastAsia="仿宋_GB2312" w:hAnsi="仿宋_GB2312" w:cs="仿宋_GB2312"/>
          <w:sz w:val="32"/>
          <w:szCs w:val="32"/>
        </w:rPr>
        <w:t>风险基本情况及防范、应急措施</w:t>
      </w:r>
      <w:r>
        <w:rPr>
          <w:rFonts w:ascii="仿宋_GB2312" w:eastAsia="仿宋_GB2312" w:hAnsi="仿宋_GB2312" w:cs="仿宋_GB2312" w:hint="eastAsia"/>
          <w:sz w:val="32"/>
          <w:szCs w:val="32"/>
        </w:rPr>
        <w:t>，并将有关信息提前告知可能直接受影响的单位和人员。</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4.2.3.2 工程技术措施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①消除或减弱。通过对装置、设备设施、工艺等的优化设计消除危险源。</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②替代。用低危害物质替代或降低系统能量。</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③封闭。对产生或导致危害的设施或场所进行密闭。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④隔离。通过隔离带、栅栏、警戒绳等把人员与危险区域隔开，采用隔声罩以降低噪声等。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⑤移开或改变方向。调整危险源所在位置，改变有毒有害气体排放口等。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4.2.3.3 管理措施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①</w:t>
      </w:r>
      <w:r>
        <w:rPr>
          <w:rFonts w:ascii="仿宋_GB2312" w:eastAsia="仿宋_GB2312" w:hAnsi="仿宋_GB2312" w:cs="仿宋_GB2312"/>
          <w:kern w:val="2"/>
          <w:sz w:val="32"/>
          <w:szCs w:val="32"/>
        </w:rPr>
        <w:t>制定实施作业程序、安全许可、安全操作规程等。</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②合理调控作业时间、</w:t>
      </w:r>
      <w:r>
        <w:rPr>
          <w:rFonts w:ascii="仿宋_GB2312" w:eastAsia="仿宋_GB2312" w:hAnsi="仿宋_GB2312" w:cs="仿宋_GB2312"/>
          <w:kern w:val="2"/>
          <w:sz w:val="32"/>
          <w:szCs w:val="32"/>
        </w:rPr>
        <w:t>减少暴露时间</w:t>
      </w:r>
      <w:r>
        <w:rPr>
          <w:rFonts w:ascii="仿宋_GB2312" w:eastAsia="仿宋_GB2312" w:hAnsi="仿宋_GB2312" w:cs="仿宋_GB2312" w:hint="eastAsia"/>
          <w:kern w:val="2"/>
          <w:sz w:val="32"/>
          <w:szCs w:val="32"/>
        </w:rPr>
        <w:t>。</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③</w:t>
      </w:r>
      <w:r>
        <w:rPr>
          <w:rFonts w:ascii="仿宋_GB2312" w:eastAsia="仿宋_GB2312" w:hAnsi="仿宋_GB2312" w:cs="仿宋_GB2312"/>
          <w:kern w:val="2"/>
          <w:sz w:val="32"/>
          <w:szCs w:val="32"/>
        </w:rPr>
        <w:t>监测监控</w:t>
      </w:r>
      <w:r>
        <w:rPr>
          <w:rFonts w:ascii="仿宋_GB2312" w:eastAsia="仿宋_GB2312" w:hAnsi="仿宋_GB2312" w:cs="仿宋_GB2312" w:hint="eastAsia"/>
          <w:kern w:val="2"/>
          <w:sz w:val="32"/>
          <w:szCs w:val="32"/>
        </w:rPr>
        <w:t>、巡查，</w:t>
      </w:r>
      <w:r>
        <w:rPr>
          <w:rFonts w:ascii="仿宋_GB2312" w:eastAsia="仿宋_GB2312" w:hAnsi="仿宋_GB2312" w:cs="仿宋_GB2312"/>
          <w:kern w:val="2"/>
          <w:sz w:val="32"/>
          <w:szCs w:val="32"/>
        </w:rPr>
        <w:t>尤其是</w:t>
      </w:r>
      <w:r>
        <w:rPr>
          <w:rFonts w:ascii="仿宋_GB2312" w:eastAsia="仿宋_GB2312" w:hAnsi="仿宋_GB2312" w:cs="仿宋_GB2312" w:hint="eastAsia"/>
          <w:kern w:val="2"/>
          <w:sz w:val="32"/>
          <w:szCs w:val="32"/>
        </w:rPr>
        <w:t>对危险物品</w:t>
      </w:r>
      <w:r>
        <w:rPr>
          <w:rFonts w:ascii="仿宋_GB2312" w:eastAsia="仿宋_GB2312" w:hAnsi="仿宋_GB2312" w:cs="仿宋_GB2312"/>
          <w:kern w:val="2"/>
          <w:sz w:val="32"/>
          <w:szCs w:val="32"/>
        </w:rPr>
        <w:t>的</w:t>
      </w:r>
      <w:r>
        <w:rPr>
          <w:rFonts w:ascii="仿宋_GB2312" w:eastAsia="仿宋_GB2312" w:hAnsi="仿宋_GB2312" w:cs="仿宋_GB2312" w:hint="eastAsia"/>
          <w:kern w:val="2"/>
          <w:sz w:val="32"/>
          <w:szCs w:val="32"/>
        </w:rPr>
        <w:t>存储、</w:t>
      </w:r>
      <w:r>
        <w:rPr>
          <w:rFonts w:ascii="仿宋_GB2312" w:eastAsia="仿宋_GB2312" w:hAnsi="仿宋_GB2312" w:cs="仿宋_GB2312"/>
          <w:kern w:val="2"/>
          <w:sz w:val="32"/>
          <w:szCs w:val="32"/>
        </w:rPr>
        <w:t>使用。</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④</w:t>
      </w:r>
      <w:r>
        <w:rPr>
          <w:rFonts w:ascii="仿宋_GB2312" w:eastAsia="仿宋_GB2312" w:hAnsi="仿宋_GB2312" w:cs="仿宋_GB2312"/>
          <w:kern w:val="2"/>
          <w:sz w:val="32"/>
          <w:szCs w:val="32"/>
        </w:rPr>
        <w:t>警报和警示信号，提高作业人员注意力。</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⑤</w:t>
      </w:r>
      <w:r>
        <w:rPr>
          <w:rFonts w:ascii="仿宋_GB2312" w:eastAsia="仿宋_GB2312" w:hAnsi="仿宋_GB2312" w:cs="仿宋_GB2312"/>
          <w:kern w:val="2"/>
          <w:sz w:val="32"/>
          <w:szCs w:val="32"/>
        </w:rPr>
        <w:t>对处在同一岗位、同一作业场所、同一工序内有相互影响的不同单位和作业人员，通过签订协议等形式明确各自的安全生产责任和义务。</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⑥</w:t>
      </w:r>
      <w:r>
        <w:rPr>
          <w:rFonts w:ascii="仿宋_GB2312" w:eastAsia="仿宋_GB2312" w:hAnsi="仿宋_GB2312" w:cs="仿宋_GB2312"/>
          <w:kern w:val="2"/>
          <w:sz w:val="32"/>
          <w:szCs w:val="32"/>
        </w:rPr>
        <w:t>购买安全生产责任保险。</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⑦其他根据工程实际可以采取的管理措施。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4.2.3.4 教育培训措施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水利工程运行管理单位应定期组织从业人员开展教育培训，使相关人员熟练掌握危险源辨识、风险评价、风险</w:t>
      </w:r>
      <w:proofErr w:type="gramStart"/>
      <w:r>
        <w:rPr>
          <w:rFonts w:ascii="仿宋_GB2312" w:eastAsia="仿宋_GB2312" w:hAnsi="仿宋_GB2312" w:cs="仿宋_GB2312" w:hint="eastAsia"/>
          <w:sz w:val="32"/>
          <w:szCs w:val="32"/>
        </w:rPr>
        <w:t>管控及应急</w:t>
      </w:r>
      <w:proofErr w:type="gramEnd"/>
      <w:r>
        <w:rPr>
          <w:rFonts w:ascii="仿宋_GB2312" w:eastAsia="仿宋_GB2312" w:hAnsi="仿宋_GB2312" w:cs="仿宋_GB2312" w:hint="eastAsia"/>
          <w:sz w:val="32"/>
          <w:szCs w:val="32"/>
        </w:rPr>
        <w:t>处置知识。</w:t>
      </w:r>
    </w:p>
    <w:p w:rsidR="007800EB" w:rsidRDefault="00D67590">
      <w:pPr>
        <w:overflowPunct w:val="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4.2.3.5 个体防护措施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水利工程运行管理单位应根据工程现场实际情况，按规范配备符合国家标准或行业标准的</w:t>
      </w:r>
      <w:r>
        <w:rPr>
          <w:rFonts w:ascii="仿宋_GB2312" w:eastAsia="仿宋_GB2312" w:hAnsi="仿宋_GB2312" w:cs="仿宋_GB2312"/>
          <w:kern w:val="2"/>
          <w:sz w:val="32"/>
          <w:szCs w:val="32"/>
        </w:rPr>
        <w:t>个体</w:t>
      </w:r>
      <w:r>
        <w:rPr>
          <w:rFonts w:ascii="仿宋_GB2312" w:eastAsia="仿宋_GB2312" w:hAnsi="仿宋_GB2312" w:cs="仿宋_GB2312" w:hint="eastAsia"/>
          <w:kern w:val="2"/>
          <w:sz w:val="32"/>
          <w:szCs w:val="32"/>
        </w:rPr>
        <w:t>防护用品，从业人员应规范佩戴防护用品。</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 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4.2.3.6.1 重大风险危险源应落实“一源一案”。对于同一类别的重大风险危险源，可以综合考虑管理主体或管控</w:t>
      </w:r>
      <w:r>
        <w:rPr>
          <w:rFonts w:ascii="仿宋_GB2312" w:eastAsia="仿宋_GB2312" w:hAnsi="仿宋_GB2312" w:cs="仿宋_GB2312" w:hint="eastAsia"/>
          <w:sz w:val="32"/>
          <w:szCs w:val="32"/>
        </w:rPr>
        <w:lastRenderedPageBreak/>
        <w:t>措施的具体情况分类制定相应的现场处置方案或专项应急预案。</w:t>
      </w:r>
    </w:p>
    <w:p w:rsidR="007800EB" w:rsidRDefault="00D67590">
      <w:pPr>
        <w:pStyle w:val="a0"/>
        <w:spacing w:line="600" w:lineRule="exact"/>
        <w:ind w:firstLine="640"/>
      </w:pPr>
      <w:r>
        <w:rPr>
          <w:rFonts w:ascii="仿宋_GB2312" w:eastAsia="仿宋_GB2312" w:hAnsi="仿宋_GB2312" w:cs="仿宋_GB2312" w:hint="eastAsia"/>
          <w:sz w:val="32"/>
          <w:szCs w:val="32"/>
        </w:rPr>
        <w:t>其他危险源应明确现场处置、伤员抢救、人员撤离、现场控制、事故报告等措施。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4.2.3.6.2 水利工程运行管理单位应当针对工作场所、设备设施、岗位的特点编制应急处置卡，主要内容包括应急处置程序、措施、相关联络人员和联系方式，发放给从业人员随身携带或在现场显著位置放置（示例见附件B.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4.2.4 水利工程运行管理单位应结合危险源动态辨识情况，对危险源的管控措施每季度至少评估一次，发现问题及时完善和改进。</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当危险源或其风险等级发生变化时，应对管控措施重新检查评估，及时完善相关措施。</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4.2.5 水利工程运行管理单位应通过水利安全生产监管信息系统，及时将重大风险危险源报送负有直接监管责任的主管部门备案（见附件A.6）。危险物品重大危险源应按规定同时报送应急管理部门和有关部门备案。</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4.2.6 水利工程运行管理单位应编制危险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包括危险源名称、所在位置、类别、级别、评估方法、风险等级、监测方式及频次、管控措施、较大及以上风险危险源预警条件、监督责任人、组织管控责任人、现场管控责任人及联系方式等与危险</w:t>
      </w:r>
      <w:proofErr w:type="gramStart"/>
      <w:r>
        <w:rPr>
          <w:rFonts w:ascii="仿宋_GB2312" w:eastAsia="仿宋_GB2312" w:hAnsi="仿宋_GB2312" w:cs="仿宋_GB2312" w:hint="eastAsia"/>
          <w:sz w:val="32"/>
          <w:szCs w:val="32"/>
        </w:rPr>
        <w:t>源相关</w:t>
      </w:r>
      <w:proofErr w:type="gramEnd"/>
      <w:r>
        <w:rPr>
          <w:rFonts w:ascii="仿宋_GB2312" w:eastAsia="仿宋_GB2312" w:hAnsi="仿宋_GB2312" w:cs="仿宋_GB2312" w:hint="eastAsia"/>
          <w:sz w:val="32"/>
          <w:szCs w:val="32"/>
        </w:rPr>
        <w:t>的各项信息，由单位安全生产分管负责人和主要负责人审核确认。</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4.2.7 水利工程运行管理单位应于每季度首月6日前，通过水利安全生产监管信息系统上报本单位上季度危险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62" w:name="_Toc13162"/>
      <w:r>
        <w:rPr>
          <w:rFonts w:ascii="楷体" w:eastAsia="楷体" w:hAnsi="楷体" w:cs="楷体" w:hint="eastAsia"/>
          <w:sz w:val="32"/>
          <w:szCs w:val="32"/>
        </w:rPr>
        <w:t>4.3 编制危险源辨识与风险评价报告</w:t>
      </w:r>
      <w:bookmarkEnd w:id="62"/>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4.3.1 水利工程运行管理单位首次开展危险源辨识与风险评价时，应根据危险源辨识、风险评价、制定的管控措施等成果，编制危险源辨识与风险评价报告，并由运行管理单位运管和安全管理部门负责人、分管运管和安全管理部门的负责人、主要负责人签字确认，必要时可组织专家进行审查后确认。报告内容应包括工程简介、辨识与评价主要依据、辨识与评价方法、辨识与评价内容、安全管控措施、应急预案、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等（见附件A.8）。</w:t>
      </w:r>
    </w:p>
    <w:p w:rsidR="007800EB" w:rsidRDefault="00D67590">
      <w:pPr>
        <w:pStyle w:val="a0"/>
        <w:spacing w:line="60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4.3.2 水利工程运行管理单位开展危险源动态辨识时应同步更新危险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表（见附件A.7），可不重新编制危险源辨识与风险评价报告。</w:t>
      </w:r>
    </w:p>
    <w:p w:rsidR="007800EB" w:rsidRDefault="00D67590">
      <w:pPr>
        <w:pStyle w:val="a0"/>
        <w:spacing w:line="600" w:lineRule="exact"/>
        <w:ind w:firstLine="640"/>
        <w:outlineLvl w:val="2"/>
        <w:rPr>
          <w:rFonts w:ascii="楷体" w:eastAsia="楷体" w:hAnsi="楷体" w:cs="楷体"/>
          <w:sz w:val="32"/>
          <w:szCs w:val="32"/>
        </w:rPr>
      </w:pPr>
      <w:bookmarkStart w:id="63" w:name="_Toc5997"/>
      <w:r>
        <w:rPr>
          <w:rFonts w:ascii="楷体" w:eastAsia="楷体" w:hAnsi="楷体" w:cs="楷体" w:hint="eastAsia"/>
          <w:sz w:val="32"/>
          <w:szCs w:val="32"/>
        </w:rPr>
        <w:t>4.4 及时排查治理事故隐患</w:t>
      </w:r>
      <w:bookmarkEnd w:id="63"/>
    </w:p>
    <w:p w:rsidR="007800EB" w:rsidRDefault="00D67590">
      <w:pPr>
        <w:overflowPunct w:val="0"/>
        <w:spacing w:line="600" w:lineRule="exact"/>
        <w:ind w:firstLineChars="200" w:firstLine="640"/>
      </w:pPr>
      <w:r>
        <w:rPr>
          <w:rFonts w:ascii="仿宋_GB2312" w:eastAsia="仿宋_GB2312" w:hAnsi="仿宋_GB2312" w:cs="仿宋_GB2312" w:hint="eastAsia"/>
          <w:sz w:val="32"/>
          <w:szCs w:val="32"/>
        </w:rPr>
        <w:t>4.4.1 水利工程运行管理单位应制定隐患排查治理制度，明确危险</w:t>
      </w:r>
      <w:proofErr w:type="gramStart"/>
      <w:r>
        <w:rPr>
          <w:rFonts w:ascii="仿宋_GB2312" w:eastAsia="仿宋_GB2312" w:hAnsi="仿宋_GB2312" w:cs="仿宋_GB2312" w:hint="eastAsia"/>
          <w:sz w:val="32"/>
          <w:szCs w:val="32"/>
        </w:rPr>
        <w:t>源现场管</w:t>
      </w:r>
      <w:proofErr w:type="gramEnd"/>
      <w:r>
        <w:rPr>
          <w:rFonts w:ascii="仿宋_GB2312" w:eastAsia="仿宋_GB2312" w:hAnsi="仿宋_GB2312" w:cs="仿宋_GB2312" w:hint="eastAsia"/>
          <w:sz w:val="32"/>
          <w:szCs w:val="32"/>
        </w:rPr>
        <w:t>控责任人、组织管控责任人和监督责任人</w:t>
      </w:r>
      <w:r>
        <w:rPr>
          <w:rFonts w:ascii="仿宋_GB2312" w:eastAsia="仿宋_GB2312" w:hAnsi="仿宋_GB2312" w:cs="仿宋_GB2312"/>
          <w:sz w:val="32"/>
          <w:szCs w:val="32"/>
        </w:rPr>
        <w:t>及其他相关人员</w:t>
      </w:r>
      <w:r>
        <w:rPr>
          <w:rFonts w:ascii="仿宋_GB2312" w:eastAsia="仿宋_GB2312" w:hAnsi="仿宋_GB2312" w:cs="仿宋_GB2312" w:hint="eastAsia"/>
          <w:sz w:val="32"/>
          <w:szCs w:val="32"/>
        </w:rPr>
        <w:t>的隐患排查治理责任、排查频次、隐患整改等要求，将重大事故隐患判定标准纳入隐患排查治理制度。</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4.4.2 水利工程运行管理单位主要负责人应将学习掌握重大事故隐患判定标准纳入本单位安全生产教育培训计</w:t>
      </w:r>
      <w:r>
        <w:rPr>
          <w:rFonts w:ascii="仿宋_GB2312" w:eastAsia="仿宋_GB2312" w:hAnsi="仿宋_GB2312" w:cs="仿宋_GB2312" w:hint="eastAsia"/>
          <w:sz w:val="32"/>
          <w:szCs w:val="32"/>
        </w:rPr>
        <w:lastRenderedPageBreak/>
        <w:t>划并组织实施。单位安全生产分管负责人以及安全生产管理人员应带头学习并熟练掌握重大事故隐患判定标准，将学习情况和学习效果作为安全生产检查和事故隐患排查治理的重点。</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4.4.3 水利工程运行管理单位主要负责人应每季度至少一次对本单位重大事故隐患排查治理情况带队进行检查。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4.4.4 水利工程运行管理单位相关责任人员按照制度定期对危险源管控措施落实情况进行检查，发现缺失或失效的启动隐患治理流程。</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4.4.5 水利工程运行管理单位应对发现的事故隐患进行整改。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.1 一般事故隐患，发现后应立即整改。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.2 重大事故隐患，发现后应立即整改。不能立即整改的要做到责任、措施、资金、时限和预案“五落实”，及时将治理进展情况向负有直接监管责任的水行政主管部门及其他相关部门报告。水利工程运行管理单位由主要负责人组织制定重大事故隐患治理方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.3 水利工程运行管理单位应如实记录事故隐患排查治理情况，并通过职工大会或者职工代表大会、信息公示栏等方式向从业人员通报。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 xml:space="preserve"> 水利工程运行管理单位应对事故隐患实行闭环管理。隐患整改完成后，应对隐患治理情况进行评估，及时验收销号。重大事故隐患整改完成后，应通过水利安全生产</w:t>
      </w:r>
      <w:r>
        <w:rPr>
          <w:rFonts w:ascii="仿宋_GB2312" w:eastAsia="仿宋_GB2312" w:hAnsi="仿宋_GB2312" w:cs="仿宋_GB2312" w:hint="eastAsia"/>
          <w:sz w:val="32"/>
          <w:szCs w:val="32"/>
        </w:rPr>
        <w:lastRenderedPageBreak/>
        <w:t>监管信息系统报送负有直接监管责任的主管部门审核销号。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 xml:space="preserve"> 水利工程运行管理单位应建立隐患排查治理工作台账。台</w:t>
      </w:r>
      <w:proofErr w:type="gramStart"/>
      <w:r>
        <w:rPr>
          <w:rFonts w:ascii="仿宋_GB2312" w:eastAsia="仿宋_GB2312" w:hAnsi="仿宋_GB2312" w:cs="仿宋_GB2312" w:hint="eastAsia"/>
          <w:sz w:val="32"/>
          <w:szCs w:val="32"/>
        </w:rPr>
        <w:t>账包括</w:t>
      </w:r>
      <w:proofErr w:type="gramEnd"/>
      <w:r>
        <w:rPr>
          <w:rFonts w:ascii="仿宋_GB2312" w:eastAsia="仿宋_GB2312" w:hAnsi="仿宋_GB2312" w:cs="仿宋_GB2312" w:hint="eastAsia"/>
          <w:sz w:val="32"/>
          <w:szCs w:val="32"/>
        </w:rPr>
        <w:t>但不限于：</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①事故隐患整改通知书（见附件A.9）。</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②事故隐患整改回复报告单（见附件A.10）。</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③事故隐患排查治理统计表（见附件A.11）。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 xml:space="preserve"> 水利工程运行管理单位应于每月6日前，通过水利安全生产监管信息系统上报本单位上月隐患排查治理信息（见附件A.11）。</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64" w:name="_Toc28189"/>
      <w:r>
        <w:rPr>
          <w:rFonts w:ascii="方正黑体_GBK" w:eastAsia="方正黑体_GBK" w:hAnsi="方正黑体_GBK" w:cs="方正黑体_GBK" w:hint="eastAsia"/>
          <w:sz w:val="32"/>
          <w:szCs w:val="32"/>
        </w:rPr>
        <w:t>5 处置机制</w:t>
      </w:r>
      <w:bookmarkEnd w:id="64"/>
    </w:p>
    <w:p w:rsidR="007800EB" w:rsidRDefault="00D67590">
      <w:pPr>
        <w:overflowPunct w:val="0"/>
        <w:spacing w:line="600" w:lineRule="exact"/>
        <w:ind w:firstLineChars="200" w:firstLine="640"/>
        <w:outlineLvl w:val="2"/>
        <w:rPr>
          <w:rFonts w:ascii="楷体" w:eastAsia="楷体" w:hAnsi="楷体" w:cs="楷体"/>
          <w:sz w:val="32"/>
          <w:szCs w:val="32"/>
        </w:rPr>
      </w:pPr>
      <w:bookmarkStart w:id="65" w:name="_Toc8850"/>
      <w:r>
        <w:rPr>
          <w:rFonts w:ascii="楷体" w:eastAsia="楷体" w:hAnsi="楷体" w:cs="楷体" w:hint="eastAsia"/>
          <w:sz w:val="32"/>
          <w:szCs w:val="32"/>
        </w:rPr>
        <w:t>5.1 建立健全应急预案</w:t>
      </w:r>
      <w:bookmarkEnd w:id="6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5.1.1 水利工程运行管理单位应根据单位事故风险实际情况确定应急预案体系，编制相应的应急预案。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事故风险单一、危险性小、作业人员较少的单位，可以只编制现场处置方案。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5.1.2 水利工程运行管理单位应按照《生产经营单位生产安全事故应急预案编制导则》（GB/T 29639—2020）编制各类应急预案，应急预案应当包括向相关主管部门报告的内容、应急组织机构和人员的联系方式、应急物资储备清单等附件信息。</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5.1.3 </w:t>
      </w:r>
      <w:r>
        <w:rPr>
          <w:rFonts w:ascii="仿宋_GB2312" w:eastAsia="仿宋_GB2312" w:hAnsi="仿宋_GB2312" w:cs="仿宋_GB2312"/>
          <w:sz w:val="32"/>
          <w:szCs w:val="32"/>
        </w:rPr>
        <w:t>应急预案经</w:t>
      </w:r>
      <w:r>
        <w:rPr>
          <w:rFonts w:ascii="仿宋_GB2312" w:eastAsia="仿宋_GB2312" w:hAnsi="仿宋_GB2312" w:cs="仿宋_GB2312" w:hint="eastAsia"/>
          <w:sz w:val="32"/>
          <w:szCs w:val="32"/>
        </w:rPr>
        <w:t>专家</w:t>
      </w:r>
      <w:r>
        <w:rPr>
          <w:rFonts w:ascii="仿宋_GB2312" w:eastAsia="仿宋_GB2312" w:hAnsi="仿宋_GB2312" w:cs="仿宋_GB2312"/>
          <w:sz w:val="32"/>
          <w:szCs w:val="32"/>
        </w:rPr>
        <w:t>评审或者论证后，由</w:t>
      </w:r>
      <w:r>
        <w:rPr>
          <w:rFonts w:ascii="仿宋_GB2312" w:eastAsia="仿宋_GB2312" w:hAnsi="仿宋_GB2312" w:cs="仿宋_GB2312" w:hint="eastAsia"/>
          <w:sz w:val="32"/>
          <w:szCs w:val="32"/>
        </w:rPr>
        <w:t>水利工程运行管理单位</w:t>
      </w:r>
      <w:r>
        <w:rPr>
          <w:rFonts w:ascii="仿宋_GB2312" w:eastAsia="仿宋_GB2312" w:hAnsi="仿宋_GB2312" w:cs="仿宋_GB2312"/>
          <w:sz w:val="32"/>
          <w:szCs w:val="32"/>
        </w:rPr>
        <w:t>主要负责人签署</w:t>
      </w:r>
      <w:r>
        <w:rPr>
          <w:rFonts w:ascii="仿宋_GB2312" w:eastAsia="仿宋_GB2312" w:hAnsi="仿宋_GB2312" w:cs="仿宋_GB2312" w:hint="eastAsia"/>
          <w:sz w:val="32"/>
          <w:szCs w:val="32"/>
        </w:rPr>
        <w:t>印发。</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应急预案应</w:t>
      </w:r>
      <w:r>
        <w:rPr>
          <w:rFonts w:ascii="仿宋_GB2312" w:eastAsia="仿宋_GB2312" w:hAnsi="仿宋_GB2312" w:cs="仿宋_GB2312"/>
          <w:sz w:val="32"/>
          <w:szCs w:val="32"/>
        </w:rPr>
        <w:t>向本单位从业人员公布，并及时发放至本单</w:t>
      </w:r>
      <w:r>
        <w:rPr>
          <w:rFonts w:ascii="仿宋_GB2312" w:eastAsia="仿宋_GB2312" w:hAnsi="仿宋_GB2312" w:cs="仿宋_GB2312"/>
          <w:sz w:val="32"/>
          <w:szCs w:val="32"/>
        </w:rPr>
        <w:lastRenderedPageBreak/>
        <w:t>位各有关部门、岗位和相关应急救援队伍</w:t>
      </w:r>
      <w:r>
        <w:rPr>
          <w:rFonts w:ascii="仿宋_GB2312" w:eastAsia="仿宋_GB2312" w:hAnsi="仿宋_GB2312" w:cs="仿宋_GB2312" w:hint="eastAsia"/>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5.1.4 水利工程运行管理单位应</w:t>
      </w:r>
      <w:r>
        <w:rPr>
          <w:rFonts w:ascii="仿宋_GB2312" w:eastAsia="仿宋_GB2312" w:hAnsi="仿宋_GB2312" w:cs="仿宋_GB2312"/>
          <w:sz w:val="32"/>
          <w:szCs w:val="32"/>
        </w:rPr>
        <w:t>通过水利安全生产监管信息系统向县级以上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水行政主管部门办理</w:t>
      </w:r>
      <w:r>
        <w:rPr>
          <w:rFonts w:ascii="仿宋_GB2312" w:eastAsia="仿宋_GB2312" w:hAnsi="仿宋_GB2312" w:cs="仿宋_GB2312" w:hint="eastAsia"/>
          <w:sz w:val="32"/>
          <w:szCs w:val="32"/>
        </w:rPr>
        <w:t>应急</w:t>
      </w:r>
      <w:r>
        <w:rPr>
          <w:rFonts w:ascii="仿宋_GB2312" w:eastAsia="仿宋_GB2312" w:hAnsi="仿宋_GB2312" w:cs="仿宋_GB2312"/>
          <w:sz w:val="32"/>
          <w:szCs w:val="32"/>
        </w:rPr>
        <w:t>预案备案手续。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 水利工程运行管理单位应定期对应急预案内容的针对性和实用性进行评估，及时修订应急预案。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5.1.5.1 中型规模以上的水利工程运行管理单位应当按照《生产安全事故应急预案管理办法》及《生产经营单位生产安全事故应急预案评估指南》（AQ/T 9011—2019)规定，至少每三年进行一次应急预案评估。</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5.1.5.2 当应急组织指挥体系与职责、应急处置程序、主要处置措施、应急响应分级等内容变更的，水利工程运行管理单位应参照应急预案编制程序及时修订，并按照有关应急预案报备程序重新备案。</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66" w:name="_Toc22927"/>
      <w:r>
        <w:rPr>
          <w:rFonts w:ascii="楷体" w:eastAsia="楷体" w:hAnsi="楷体" w:cs="楷体" w:hint="eastAsia"/>
          <w:sz w:val="32"/>
          <w:szCs w:val="32"/>
        </w:rPr>
        <w:t>5.2 明确应急队伍及物资</w:t>
      </w:r>
      <w:bookmarkEnd w:id="6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5.2.1 水利工程运行管理单位所属宾馆、学校、医院、水利风景区等人员密集场所，应建立应急救援队伍。</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5.2.2 小型水利工程运行管理单位，可以不建立应急救援队伍，但应当指定兼职的应急救援人员，也可以与邻近的应急救援队伍签订应急救援协议。</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5.2.3 水利工程运行管理单位应根据有关规定并结合实际确定和配备必要的应急救援器材、设备和物资，建立应急装备和</w:t>
      </w:r>
      <w:proofErr w:type="gramStart"/>
      <w:r>
        <w:rPr>
          <w:rFonts w:ascii="仿宋_GB2312" w:eastAsia="仿宋_GB2312" w:hAnsi="仿宋_GB2312" w:cs="仿宋_GB2312" w:hint="eastAsia"/>
          <w:sz w:val="32"/>
          <w:szCs w:val="32"/>
        </w:rPr>
        <w:t>物资台</w:t>
      </w:r>
      <w:proofErr w:type="gramEnd"/>
      <w:r>
        <w:rPr>
          <w:rFonts w:ascii="仿宋_GB2312" w:eastAsia="仿宋_GB2312" w:hAnsi="仿宋_GB2312" w:cs="仿宋_GB2312" w:hint="eastAsia"/>
          <w:sz w:val="32"/>
          <w:szCs w:val="32"/>
        </w:rPr>
        <w:t>账（见附件A.12），明确专人管理，定期检</w:t>
      </w:r>
      <w:r>
        <w:rPr>
          <w:rFonts w:ascii="仿宋_GB2312" w:eastAsia="仿宋_GB2312" w:hAnsi="仿宋_GB2312" w:cs="仿宋_GB2312" w:hint="eastAsia"/>
          <w:sz w:val="32"/>
          <w:szCs w:val="32"/>
        </w:rPr>
        <w:lastRenderedPageBreak/>
        <w:t>查、维护、更新应急装备物资，保证正常使用。</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67" w:name="_Toc32181"/>
      <w:r>
        <w:rPr>
          <w:rFonts w:ascii="楷体" w:eastAsia="楷体" w:hAnsi="楷体" w:cs="楷体" w:hint="eastAsia"/>
          <w:sz w:val="32"/>
          <w:szCs w:val="32"/>
        </w:rPr>
        <w:t>5.3 开展应急演练</w:t>
      </w:r>
      <w:bookmarkEnd w:id="6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5.3.1 水利工程运行管理单位</w:t>
      </w:r>
      <w:r>
        <w:rPr>
          <w:rFonts w:ascii="仿宋_GB2312" w:eastAsia="仿宋_GB2312" w:hAnsi="仿宋_GB2312" w:cs="仿宋_GB2312"/>
          <w:sz w:val="32"/>
          <w:szCs w:val="32"/>
        </w:rPr>
        <w:t>应每年至少组织一次综合应急预案演练或专项应急预案演练，每半年至少组织一次现场处置方案演练</w:t>
      </w:r>
      <w:r>
        <w:rPr>
          <w:rFonts w:ascii="仿宋_GB2312" w:eastAsia="仿宋_GB2312" w:hAnsi="仿宋_GB2312" w:cs="仿宋_GB2312" w:hint="eastAsia"/>
          <w:sz w:val="32"/>
          <w:szCs w:val="32"/>
        </w:rPr>
        <w:t>，并将演练情况通过水利安全生产监管信息系统报送所在地水行政主管部门。</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5.3.2 水利工程运行管理单位开展应急演练前应编制演练方案（见附件A.17），准备应急演练所需的物资。应急演练方案应包括演练目的及要求、事故情景、参与人员及范围、时间与地点、主要任务及职责、筹备工作内容、主要工作步骤、技术支撑及保障条件、评估与总结等主要内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5.3.3 水利工程运行管理单位主要负责人应按照演练方案组织开展应急演练，做好演练过程记录，整理留存参与人员签到表、演练照片或视频记录等材料。</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5.3.4 应急演练结束后，水利工程运行管理单位应对演练情况进行评估，分析存在的问题，编制应急演练评估报告，及时修订完善应急预案。演练评估报告应包括演练基本情况、演练评估过程、演练情况分析、改进的意见和建议等主要内容。</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68" w:name="_Toc9055"/>
      <w:r>
        <w:rPr>
          <w:rFonts w:ascii="楷体" w:eastAsia="楷体" w:hAnsi="楷体" w:cs="楷体" w:hint="eastAsia"/>
          <w:sz w:val="32"/>
          <w:szCs w:val="32"/>
        </w:rPr>
        <w:t>5.4 快速有效开展应急处置</w:t>
      </w:r>
      <w:bookmarkEnd w:id="68"/>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 险情发生后，水利工程运行管理单位应根据相应预案迅速</w:t>
      </w:r>
      <w:r>
        <w:rPr>
          <w:rFonts w:ascii="仿宋_GB2312" w:eastAsia="仿宋_GB2312" w:hAnsi="仿宋_GB2312" w:cs="仿宋_GB2312"/>
          <w:sz w:val="32"/>
          <w:szCs w:val="32"/>
        </w:rPr>
        <w:t>启动生产安全事故应急</w:t>
      </w:r>
      <w:r>
        <w:rPr>
          <w:rFonts w:ascii="仿宋_GB2312" w:eastAsia="仿宋_GB2312" w:hAnsi="仿宋_GB2312" w:cs="仿宋_GB2312" w:hint="eastAsia"/>
          <w:sz w:val="32"/>
          <w:szCs w:val="32"/>
        </w:rPr>
        <w:t>响应</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5.4.2 </w:t>
      </w:r>
      <w:r>
        <w:rPr>
          <w:rFonts w:ascii="仿宋_GB2312" w:eastAsia="仿宋_GB2312" w:hAnsi="仿宋_GB2312" w:cs="仿宋_GB2312"/>
          <w:sz w:val="32"/>
          <w:szCs w:val="32"/>
        </w:rPr>
        <w:t>先期处置</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优先组织抢救遇险人员</w:t>
      </w:r>
      <w:r>
        <w:rPr>
          <w:rFonts w:ascii="仿宋_GB2312" w:eastAsia="仿宋_GB2312" w:hAnsi="仿宋_GB2312" w:cs="仿宋_GB2312" w:hint="eastAsia"/>
          <w:sz w:val="32"/>
          <w:szCs w:val="32"/>
        </w:rPr>
        <w:t>，采取必要措</w:t>
      </w:r>
      <w:r>
        <w:rPr>
          <w:rFonts w:ascii="仿宋_GB2312" w:eastAsia="仿宋_GB2312" w:hAnsi="仿宋_GB2312" w:cs="仿宋_GB2312" w:hint="eastAsia"/>
          <w:sz w:val="32"/>
          <w:szCs w:val="32"/>
        </w:rPr>
        <w:lastRenderedPageBreak/>
        <w:t>施，</w:t>
      </w:r>
      <w:r>
        <w:rPr>
          <w:rFonts w:ascii="仿宋_GB2312" w:eastAsia="仿宋_GB2312" w:hAnsi="仿宋_GB2312" w:cs="仿宋_GB2312"/>
          <w:sz w:val="32"/>
          <w:szCs w:val="32"/>
        </w:rPr>
        <w:t>防止事故危害扩大和次生、衍生灾害发生。</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5.4.3 </w:t>
      </w:r>
      <w:r>
        <w:rPr>
          <w:rFonts w:ascii="仿宋_GB2312" w:eastAsia="仿宋_GB2312" w:hAnsi="仿宋_GB2312" w:cs="仿宋_GB2312"/>
          <w:sz w:val="32"/>
          <w:szCs w:val="32"/>
        </w:rPr>
        <w:t>事故发生后，现场有关人员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立即报告本单位负责人</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单位负责人接到事故报告后，</w:t>
      </w:r>
      <w:r>
        <w:rPr>
          <w:rFonts w:ascii="仿宋_GB2312" w:eastAsia="仿宋_GB2312" w:hAnsi="仿宋_GB2312" w:cs="仿宋_GB2312" w:hint="eastAsia"/>
          <w:sz w:val="32"/>
          <w:szCs w:val="32"/>
        </w:rPr>
        <w:t>应立即</w:t>
      </w:r>
      <w:r>
        <w:rPr>
          <w:rFonts w:ascii="仿宋_GB2312" w:eastAsia="仿宋_GB2312" w:hAnsi="仿宋_GB2312" w:cs="仿宋_GB2312"/>
          <w:sz w:val="32"/>
          <w:szCs w:val="32"/>
        </w:rPr>
        <w:t>向当地县级以上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水行政主管部门和有关部门报告。</w:t>
      </w:r>
      <w:r>
        <w:rPr>
          <w:rFonts w:ascii="仿宋_GB2312" w:eastAsia="仿宋_GB2312" w:hAnsi="仿宋_GB2312" w:cs="仿宋_GB2312" w:hint="eastAsia"/>
          <w:sz w:val="32"/>
          <w:szCs w:val="32"/>
        </w:rPr>
        <w:t>情况紧急时，现场人员可以越级上报。</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69" w:name="_Toc29635"/>
      <w:r>
        <w:rPr>
          <w:rFonts w:ascii="方正黑体_GBK" w:eastAsia="方正黑体_GBK" w:hAnsi="方正黑体_GBK" w:cs="方正黑体_GBK" w:hint="eastAsia"/>
          <w:sz w:val="32"/>
          <w:szCs w:val="32"/>
        </w:rPr>
        <w:t>6 责任机制</w:t>
      </w:r>
      <w:bookmarkEnd w:id="69"/>
    </w:p>
    <w:p w:rsidR="007800EB" w:rsidRDefault="00D67590">
      <w:pPr>
        <w:overflowPunct w:val="0"/>
        <w:spacing w:line="600" w:lineRule="exact"/>
        <w:ind w:firstLineChars="200" w:firstLine="640"/>
        <w:outlineLvl w:val="2"/>
        <w:rPr>
          <w:rFonts w:ascii="楷体" w:eastAsia="楷体" w:hAnsi="楷体" w:cs="楷体"/>
          <w:sz w:val="32"/>
          <w:szCs w:val="32"/>
        </w:rPr>
      </w:pPr>
      <w:bookmarkStart w:id="70" w:name="_Toc5985"/>
      <w:r>
        <w:rPr>
          <w:rFonts w:ascii="楷体" w:eastAsia="楷体" w:hAnsi="楷体" w:cs="楷体" w:hint="eastAsia"/>
          <w:sz w:val="32"/>
          <w:szCs w:val="32"/>
        </w:rPr>
        <w:t>6.1 建立全员安全生产责任制</w:t>
      </w:r>
      <w:bookmarkEnd w:id="7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6.1.1 水利工程运行管理单位应建立</w:t>
      </w:r>
      <w:r>
        <w:rPr>
          <w:rFonts w:ascii="仿宋_GB2312" w:eastAsia="仿宋_GB2312" w:hAnsi="仿宋_GB2312" w:cs="仿宋_GB2312"/>
          <w:sz w:val="32"/>
          <w:szCs w:val="32"/>
        </w:rPr>
        <w:t>全员安全生产责任制，明确单位</w:t>
      </w:r>
      <w:r>
        <w:rPr>
          <w:rFonts w:ascii="仿宋_GB2312" w:eastAsia="仿宋_GB2312" w:hAnsi="仿宋_GB2312" w:cs="仿宋_GB2312" w:hint="eastAsia"/>
          <w:sz w:val="32"/>
          <w:szCs w:val="32"/>
        </w:rPr>
        <w:t>党政领导干部、各个部门、各层级</w:t>
      </w:r>
      <w:r>
        <w:rPr>
          <w:rFonts w:ascii="仿宋_GB2312" w:eastAsia="仿宋_GB2312" w:hAnsi="仿宋_GB2312" w:cs="仿宋_GB2312"/>
          <w:sz w:val="32"/>
          <w:szCs w:val="32"/>
        </w:rPr>
        <w:t>下属单位</w:t>
      </w:r>
      <w:r>
        <w:rPr>
          <w:rFonts w:ascii="仿宋_GB2312" w:eastAsia="仿宋_GB2312" w:hAnsi="仿宋_GB2312" w:cs="仿宋_GB2312" w:hint="eastAsia"/>
          <w:sz w:val="32"/>
          <w:szCs w:val="32"/>
        </w:rPr>
        <w:t>（建设项目、运行工程）和各</w:t>
      </w:r>
      <w:r>
        <w:rPr>
          <w:rFonts w:ascii="仿宋_GB2312" w:eastAsia="仿宋_GB2312" w:hAnsi="仿宋_GB2312" w:cs="仿宋_GB2312"/>
          <w:sz w:val="32"/>
          <w:szCs w:val="32"/>
        </w:rPr>
        <w:t>岗位</w:t>
      </w:r>
      <w:r>
        <w:rPr>
          <w:rFonts w:ascii="仿宋_GB2312" w:eastAsia="仿宋_GB2312" w:hAnsi="仿宋_GB2312" w:cs="仿宋_GB2312" w:hint="eastAsia"/>
          <w:sz w:val="32"/>
          <w:szCs w:val="32"/>
        </w:rPr>
        <w:t>工作人员安全生产</w:t>
      </w:r>
      <w:r>
        <w:rPr>
          <w:rFonts w:ascii="仿宋_GB2312" w:eastAsia="仿宋_GB2312" w:hAnsi="仿宋_GB2312" w:cs="仿宋_GB2312"/>
          <w:sz w:val="32"/>
          <w:szCs w:val="32"/>
        </w:rPr>
        <w:t>责任范围、履责要求。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全员安全生产责任制应以单位正式文件印发</w:t>
      </w:r>
      <w:r>
        <w:rPr>
          <w:rFonts w:ascii="仿宋_GB2312" w:eastAsia="仿宋_GB2312" w:hAnsi="仿宋_GB2312" w:cs="仿宋_GB2312" w:hint="eastAsia"/>
          <w:sz w:val="32"/>
          <w:szCs w:val="32"/>
        </w:rPr>
        <w:t>至</w:t>
      </w:r>
      <w:r>
        <w:rPr>
          <w:rFonts w:ascii="仿宋_GB2312" w:eastAsia="仿宋_GB2312" w:hAnsi="仿宋_GB2312" w:cs="仿宋_GB2312"/>
          <w:sz w:val="32"/>
          <w:szCs w:val="32"/>
        </w:rPr>
        <w:t>所有部门、</w:t>
      </w:r>
      <w:r>
        <w:rPr>
          <w:rFonts w:ascii="仿宋_GB2312" w:eastAsia="仿宋_GB2312" w:hAnsi="仿宋_GB2312" w:cs="仿宋_GB2312" w:hint="eastAsia"/>
          <w:sz w:val="32"/>
          <w:szCs w:val="32"/>
        </w:rPr>
        <w:t>各层级下属单位直至</w:t>
      </w:r>
      <w:r>
        <w:rPr>
          <w:rFonts w:ascii="仿宋_GB2312" w:eastAsia="仿宋_GB2312" w:hAnsi="仿宋_GB2312" w:cs="仿宋_GB2312"/>
          <w:sz w:val="32"/>
          <w:szCs w:val="32"/>
        </w:rPr>
        <w:t>基层单位，传达到</w:t>
      </w:r>
      <w:r>
        <w:rPr>
          <w:rFonts w:ascii="仿宋_GB2312" w:eastAsia="仿宋_GB2312" w:hAnsi="仿宋_GB2312" w:cs="仿宋_GB2312" w:hint="eastAsia"/>
          <w:sz w:val="32"/>
          <w:szCs w:val="32"/>
        </w:rPr>
        <w:t>包括各级党政领导干部在内的</w:t>
      </w:r>
      <w:r>
        <w:rPr>
          <w:rFonts w:ascii="仿宋_GB2312" w:eastAsia="仿宋_GB2312" w:hAnsi="仿宋_GB2312" w:cs="仿宋_GB2312"/>
          <w:sz w:val="32"/>
          <w:szCs w:val="32"/>
        </w:rPr>
        <w:t>每个岗位和</w:t>
      </w:r>
      <w:r>
        <w:rPr>
          <w:rFonts w:ascii="仿宋_GB2312" w:eastAsia="仿宋_GB2312" w:hAnsi="仿宋_GB2312" w:cs="仿宋_GB2312" w:hint="eastAsia"/>
          <w:sz w:val="32"/>
          <w:szCs w:val="32"/>
        </w:rPr>
        <w:t>人员</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6.1.</w:t>
      </w:r>
      <w:r>
        <w:rPr>
          <w:rFonts w:ascii="仿宋_GB2312" w:eastAsia="仿宋_GB2312" w:hAnsi="仿宋_GB2312" w:cs="仿宋_GB2312" w:hint="eastAsia"/>
          <w:sz w:val="32"/>
          <w:szCs w:val="32"/>
        </w:rPr>
        <w:t>2 水利工程运行管理单位</w:t>
      </w:r>
      <w:r>
        <w:rPr>
          <w:rFonts w:ascii="仿宋_GB2312" w:eastAsia="仿宋_GB2312" w:hAnsi="仿宋_GB2312" w:cs="仿宋_GB2312"/>
          <w:sz w:val="32"/>
          <w:szCs w:val="32"/>
        </w:rPr>
        <w:t>主要负责人与分管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与所</w:t>
      </w:r>
      <w:r>
        <w:rPr>
          <w:rFonts w:ascii="仿宋_GB2312" w:eastAsia="仿宋_GB2312" w:hAnsi="仿宋_GB2312" w:cs="仿宋_GB2312" w:hint="eastAsia"/>
          <w:sz w:val="32"/>
          <w:szCs w:val="32"/>
        </w:rPr>
        <w:t>分管</w:t>
      </w:r>
      <w:r>
        <w:rPr>
          <w:rFonts w:ascii="仿宋_GB2312" w:eastAsia="仿宋_GB2312" w:hAnsi="仿宋_GB2312" w:cs="仿宋_GB2312"/>
          <w:sz w:val="32"/>
          <w:szCs w:val="32"/>
        </w:rPr>
        <w:t>部门、下属单位</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，部门、下属单位负责人与各岗位工作人员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逐级</w:t>
      </w:r>
      <w:r>
        <w:rPr>
          <w:rFonts w:ascii="仿宋_GB2312" w:eastAsia="仿宋_GB2312" w:hAnsi="仿宋_GB2312" w:cs="仿宋_GB2312" w:hint="eastAsia"/>
          <w:sz w:val="32"/>
          <w:szCs w:val="32"/>
        </w:rPr>
        <w:t>明确</w:t>
      </w:r>
      <w:r>
        <w:rPr>
          <w:rFonts w:ascii="仿宋_GB2312" w:eastAsia="仿宋_GB2312" w:hAnsi="仿宋_GB2312" w:cs="仿宋_GB2312"/>
          <w:sz w:val="32"/>
          <w:szCs w:val="32"/>
        </w:rPr>
        <w:t>安全生产责任</w:t>
      </w:r>
      <w:r>
        <w:rPr>
          <w:rFonts w:ascii="仿宋_GB2312" w:eastAsia="仿宋_GB2312" w:hAnsi="仿宋_GB2312" w:cs="仿宋_GB2312" w:hint="eastAsia"/>
          <w:sz w:val="32"/>
          <w:szCs w:val="32"/>
        </w:rPr>
        <w:t>和</w:t>
      </w:r>
      <w:proofErr w:type="gramStart"/>
      <w:r>
        <w:rPr>
          <w:rFonts w:ascii="仿宋_GB2312" w:eastAsia="仿宋_GB2312" w:hAnsi="仿宋_GB2312" w:cs="仿宋_GB2312" w:hint="eastAsia"/>
          <w:sz w:val="32"/>
          <w:szCs w:val="32"/>
        </w:rPr>
        <w:t>履责</w:t>
      </w:r>
      <w:proofErr w:type="gramEnd"/>
      <w:r>
        <w:rPr>
          <w:rFonts w:ascii="仿宋_GB2312" w:eastAsia="仿宋_GB2312" w:hAnsi="仿宋_GB2312" w:cs="仿宋_GB2312" w:hint="eastAsia"/>
          <w:sz w:val="32"/>
          <w:szCs w:val="32"/>
        </w:rPr>
        <w:t>要求</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71" w:name="_Toc9046"/>
      <w:r>
        <w:rPr>
          <w:rFonts w:ascii="楷体" w:eastAsia="楷体" w:hAnsi="楷体" w:cs="楷体" w:hint="eastAsia"/>
          <w:sz w:val="32"/>
          <w:szCs w:val="32"/>
        </w:rPr>
        <w:t>6.2 开展教育培训</w:t>
      </w:r>
      <w:bookmarkEnd w:id="7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6.2.1 水利工程运行管理单位主要负责人应组织制定包括“六项机制”在内的年度安全生产教育培训计划。</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 应当接受安全教育培训的从业人员包括水利工程运行管理单位主要负责人、安全生产管理人员、特种作业</w:t>
      </w:r>
      <w:r>
        <w:rPr>
          <w:rFonts w:ascii="仿宋_GB2312" w:eastAsia="仿宋_GB2312" w:hAnsi="仿宋_GB2312" w:cs="仿宋_GB2312" w:hint="eastAsia"/>
          <w:sz w:val="32"/>
          <w:szCs w:val="32"/>
        </w:rPr>
        <w:lastRenderedPageBreak/>
        <w:t>（特种设备作业）人员和其他从业人员，以及劳务派遣、灵活用工、对外委托协作单位人员等。从业人员应</w:t>
      </w:r>
      <w:r>
        <w:rPr>
          <w:rFonts w:ascii="仿宋_GB2312" w:eastAsia="仿宋_GB2312" w:hAnsi="仿宋_GB2312" w:cs="仿宋_GB2312"/>
          <w:sz w:val="32"/>
          <w:szCs w:val="32"/>
        </w:rPr>
        <w:t>做到“三知两会”，即知道本岗位危险源所在、管控措施、应急措施，会使用配备的应急器材、宣讲岗位风险防范措施</w:t>
      </w:r>
      <w:r>
        <w:rPr>
          <w:rFonts w:ascii="仿宋_GB2312" w:eastAsia="仿宋_GB2312" w:hAnsi="仿宋_GB2312" w:cs="仿宋_GB2312" w:hint="eastAsia"/>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6.2.2.1 水利工程运行管理单位主要负责人和安全生产管理人员初次安全培训时间不少于32学时（含“六项机制”内容12学时以上），每年再培训时间不少于12学时。</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6.2.2.2 水利工程运行管理单位应当对新上岗的临时工、合同工、劳务工、轮换工、</w:t>
      </w:r>
      <w:proofErr w:type="gramStart"/>
      <w:r>
        <w:rPr>
          <w:rFonts w:ascii="仿宋_GB2312" w:eastAsia="仿宋_GB2312" w:hAnsi="仿宋_GB2312" w:cs="仿宋_GB2312" w:hint="eastAsia"/>
          <w:sz w:val="32"/>
          <w:szCs w:val="32"/>
        </w:rPr>
        <w:t>协议工</w:t>
      </w:r>
      <w:proofErr w:type="gramEnd"/>
      <w:r>
        <w:rPr>
          <w:rFonts w:ascii="仿宋_GB2312" w:eastAsia="仿宋_GB2312" w:hAnsi="仿宋_GB2312" w:cs="仿宋_GB2312" w:hint="eastAsia"/>
          <w:sz w:val="32"/>
          <w:szCs w:val="32"/>
        </w:rPr>
        <w:t>等从业人员进行安全培训，岗前安全培训时间不少于24学时（含“六项机制”内容8学时以上）；对劳务派遣、灵活用工、对外委托协作单位人员等其他从业人员开展安全生产培训，保证其具备本岗位风险管控、应急处置等知识和技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6.2.2.3 水利工程运行管理单位从业人员在本单位内调整工作岗位或离岗一年以上重新上岗时，应当重新接受车间（工段、区、队）和</w:t>
      </w:r>
      <w:proofErr w:type="gramStart"/>
      <w:r>
        <w:rPr>
          <w:rFonts w:ascii="仿宋_GB2312" w:eastAsia="仿宋_GB2312" w:hAnsi="仿宋_GB2312" w:cs="仿宋_GB2312" w:hint="eastAsia"/>
          <w:sz w:val="32"/>
          <w:szCs w:val="32"/>
        </w:rPr>
        <w:t>班组级</w:t>
      </w:r>
      <w:proofErr w:type="gramEnd"/>
      <w:r>
        <w:rPr>
          <w:rFonts w:ascii="仿宋_GB2312" w:eastAsia="仿宋_GB2312" w:hAnsi="仿宋_GB2312" w:cs="仿宋_GB2312" w:hint="eastAsia"/>
          <w:sz w:val="32"/>
          <w:szCs w:val="32"/>
        </w:rPr>
        <w:t>的安全培训，培训时间不少于8学时。</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6.2.2.4 水利工程运行管理单位采用新工艺、新技术或者使用新设备、新材料时，应对有关从业人员进行有针对性的安全培训。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6.2.2.5 特种作业人员和特种设备作业人员必须按照国家有关法律、法规的规定接受专门的安全培训，经考核合格，取得相应操作资格证书后，方可上岗作业。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6.2.3 水利工程运行管理单位应建立安全生产教育培训档案，如实记录培训时间、内容、参加人员以及培训考核结果等情况（见附件A.13）。</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72" w:name="_Toc15560"/>
      <w:bookmarkStart w:id="73" w:name="_Toc15229"/>
      <w:r>
        <w:rPr>
          <w:rFonts w:ascii="楷体" w:eastAsia="楷体" w:hAnsi="楷体" w:cs="楷体" w:hint="eastAsia"/>
          <w:sz w:val="32"/>
          <w:szCs w:val="32"/>
        </w:rPr>
        <w:t xml:space="preserve">6.3 </w:t>
      </w:r>
      <w:bookmarkEnd w:id="72"/>
      <w:r>
        <w:rPr>
          <w:rFonts w:ascii="楷体" w:eastAsia="楷体" w:hAnsi="楷体" w:cs="楷体" w:hint="eastAsia"/>
          <w:sz w:val="32"/>
          <w:szCs w:val="32"/>
        </w:rPr>
        <w:t>开展责任制考核</w:t>
      </w:r>
      <w:bookmarkEnd w:id="73"/>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6.3.1 水利工程运行管理单位应制定安全生产岗位责任考核办法，岗位责任考核指标和标准应尽可能细化、量化、便于操作，并明确考核周期和考核结果应用等内容。</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6.3.2 水利工程运行管理单位应根据安全生产岗位责任考核办法定期开展考核，检查岗位责任落实和有关指标完成情况，兑现奖惩措施。</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74" w:name="_Toc7585"/>
      <w:r>
        <w:rPr>
          <w:rFonts w:ascii="楷体" w:eastAsia="楷体" w:hAnsi="楷体" w:cs="楷体" w:hint="eastAsia"/>
          <w:sz w:val="32"/>
          <w:szCs w:val="32"/>
        </w:rPr>
        <w:t>6.4 严格奖惩问责</w:t>
      </w:r>
      <w:bookmarkEnd w:id="74"/>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6.4.1 水利工程运行管理单位应建立安全生产奖惩制度，对应给予奖励和惩处的具体情形进行规定，明确相应的奖惩措施。</w:t>
      </w:r>
    </w:p>
    <w:p w:rsidR="007800EB" w:rsidRDefault="00D67590">
      <w:pPr>
        <w:overflowPunct w:val="0"/>
        <w:spacing w:line="600" w:lineRule="exact"/>
        <w:ind w:firstLineChars="200" w:firstLine="640"/>
        <w:rPr>
          <w:rFonts w:ascii="仿宋_GB2312" w:eastAsia="仿宋_GB2312" w:hAnsi="仿宋_GB2312" w:cs="仿宋_GB231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sz w:val="32"/>
          <w:szCs w:val="32"/>
        </w:rPr>
        <w:t>6.4.2 根据《中华人民共和国安全生产法》《中华人民共和国刑法》《生产安全事故报告和调查处理条例》</w:t>
      </w:r>
      <w:r>
        <w:rPr>
          <w:rFonts w:ascii="仿宋_GB2312" w:eastAsia="仿宋_GB2312" w:hAnsi="仿宋_GB2312" w:cs="仿宋_GB2312"/>
          <w:sz w:val="32"/>
          <w:szCs w:val="32"/>
          <w:lang w:val="en"/>
        </w:rPr>
        <w:t>等</w:t>
      </w:r>
      <w:r>
        <w:rPr>
          <w:rFonts w:ascii="仿宋_GB2312" w:eastAsia="仿宋_GB2312" w:hAnsi="仿宋_GB2312" w:cs="仿宋_GB2312" w:hint="eastAsia"/>
          <w:sz w:val="32"/>
          <w:szCs w:val="32"/>
        </w:rPr>
        <w:t>对事故责任追究的规定，水利工程运行管理单位应积极配合有关部门做好生产安全事故的调查和处理，并按照“四不放过”原则实施事故责任追究。</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0A5C2100" wp14:editId="0B6AAA2F">
            <wp:extent cx="6972300" cy="4857750"/>
            <wp:effectExtent l="0" t="0" r="0" b="0"/>
            <wp:docPr id="9" name="图片 77" descr="7.查找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7" descr="7.查找机制（工程运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97230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图9 水利</w:t>
      </w:r>
      <w:r>
        <w:rPr>
          <w:rFonts w:ascii="仿宋_GB2312" w:eastAsia="仿宋_GB2312" w:hAnsi="仿宋_GB2312" w:cs="仿宋_GB2312" w:hint="eastAsia"/>
          <w:b/>
          <w:bCs/>
          <w:sz w:val="32"/>
          <w:szCs w:val="32"/>
        </w:rPr>
        <w:t>工程运行管理单位</w:t>
      </w:r>
      <w:r>
        <w:rPr>
          <w:rFonts w:ascii="仿宋_GB2312" w:eastAsia="仿宋_GB2312" w:hAnsi="仿宋_GB2312" w:cs="仿宋_GB2312" w:hint="eastAsia"/>
          <w:b/>
          <w:bCs/>
          <w:kern w:val="2"/>
          <w:sz w:val="32"/>
          <w:szCs w:val="32"/>
        </w:rPr>
        <w:t>查找机制工作内容框架图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160F94DC" wp14:editId="6ECE6FD8">
            <wp:extent cx="9004300" cy="2159000"/>
            <wp:effectExtent l="0" t="0" r="0" b="0"/>
            <wp:docPr id="10" name="图片 99" descr="8.研判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9" descr="8.研判机制（工程运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04300" cy="2159000"/>
                    </a:xfrm>
                    <a:prstGeom prst="rect">
                      <a:avLst/>
                    </a:prstGeom>
                    <a:noFill/>
                    <a:ln>
                      <a:noFill/>
                    </a:ln>
                  </pic:spPr>
                </pic:pic>
              </a:graphicData>
            </a:graphic>
          </wp:inline>
        </w:drawing>
      </w: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图10 水利</w:t>
      </w:r>
      <w:r>
        <w:rPr>
          <w:rFonts w:ascii="仿宋_GB2312" w:eastAsia="仿宋_GB2312" w:hAnsi="仿宋_GB2312" w:cs="仿宋_GB2312" w:hint="eastAsia"/>
          <w:b/>
          <w:bCs/>
          <w:sz w:val="32"/>
          <w:szCs w:val="32"/>
        </w:rPr>
        <w:t>工程运行管理单位</w:t>
      </w:r>
      <w:proofErr w:type="gramStart"/>
      <w:r>
        <w:rPr>
          <w:rFonts w:ascii="仿宋_GB2312" w:eastAsia="仿宋_GB2312" w:hAnsi="仿宋_GB2312" w:cs="仿宋_GB2312" w:hint="eastAsia"/>
          <w:b/>
          <w:bCs/>
          <w:kern w:val="2"/>
          <w:sz w:val="32"/>
          <w:szCs w:val="32"/>
        </w:rPr>
        <w:t>研判机制</w:t>
      </w:r>
      <w:proofErr w:type="gramEnd"/>
      <w:r>
        <w:rPr>
          <w:rFonts w:ascii="仿宋_GB2312" w:eastAsia="仿宋_GB2312" w:hAnsi="仿宋_GB2312" w:cs="仿宋_GB2312" w:hint="eastAsia"/>
          <w:b/>
          <w:bCs/>
          <w:kern w:val="2"/>
          <w:sz w:val="32"/>
          <w:szCs w:val="32"/>
        </w:rPr>
        <w:t>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00A5ACF4" wp14:editId="6EE8CD4D">
            <wp:extent cx="9048750" cy="4679950"/>
            <wp:effectExtent l="0" t="0" r="0" b="0"/>
            <wp:docPr id="11" name="图片 27" descr="9.预警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9.预警机制（工程运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48750" cy="4679950"/>
                    </a:xfrm>
                    <a:prstGeom prst="rect">
                      <a:avLst/>
                    </a:prstGeom>
                    <a:noFill/>
                    <a:ln>
                      <a:noFill/>
                    </a:ln>
                    <a:effectLst/>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图11 水利</w:t>
      </w:r>
      <w:r>
        <w:rPr>
          <w:rFonts w:ascii="仿宋_GB2312" w:eastAsia="仿宋_GB2312" w:hAnsi="仿宋_GB2312" w:cs="仿宋_GB2312" w:hint="eastAsia"/>
          <w:b/>
          <w:bCs/>
          <w:sz w:val="32"/>
          <w:szCs w:val="32"/>
        </w:rPr>
        <w:t>工程运行管理单位</w:t>
      </w:r>
      <w:r>
        <w:rPr>
          <w:rFonts w:ascii="仿宋_GB2312" w:eastAsia="仿宋_GB2312" w:hAnsi="仿宋_GB2312" w:cs="仿宋_GB2312" w:hint="eastAsia"/>
          <w:b/>
          <w:bCs/>
          <w:kern w:val="2"/>
          <w:sz w:val="32"/>
          <w:szCs w:val="32"/>
        </w:rPr>
        <w:t>预警机制工作内容框架图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lang w:val="en"/>
        </w:rPr>
      </w:pPr>
      <w:r>
        <w:rPr>
          <w:rFonts w:ascii="仿宋_GB2312" w:eastAsia="仿宋_GB2312" w:hAnsi="仿宋_GB2312" w:cs="仿宋_GB2312"/>
          <w:noProof/>
          <w:kern w:val="2"/>
          <w:sz w:val="32"/>
          <w:szCs w:val="32"/>
        </w:rPr>
        <w:drawing>
          <wp:inline distT="0" distB="0" distL="114300" distR="114300" wp14:anchorId="7418F9CF" wp14:editId="7D3462B9">
            <wp:extent cx="5452745" cy="6480175"/>
            <wp:effectExtent l="0" t="0" r="14605" b="15875"/>
            <wp:docPr id="36" name="图片 36" descr="10.防范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0.防范机制（工程运行）"/>
                    <pic:cNvPicPr>
                      <a:picLocks noChangeAspect="1"/>
                    </pic:cNvPicPr>
                  </pic:nvPicPr>
                  <pic:blipFill>
                    <a:blip r:embed="rId24"/>
                    <a:stretch>
                      <a:fillRect/>
                    </a:stretch>
                  </pic:blipFill>
                  <pic:spPr>
                    <a:xfrm>
                      <a:off x="0" y="0"/>
                      <a:ext cx="5452745" cy="6480175"/>
                    </a:xfrm>
                    <a:prstGeom prst="rect">
                      <a:avLst/>
                    </a:prstGeom>
                  </pic:spPr>
                </pic:pic>
              </a:graphicData>
            </a:graphic>
          </wp:inline>
        </w:drawing>
      </w: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图12 水利</w:t>
      </w:r>
      <w:r>
        <w:rPr>
          <w:rFonts w:ascii="仿宋_GB2312" w:eastAsia="仿宋_GB2312" w:hAnsi="仿宋_GB2312" w:cs="仿宋_GB2312" w:hint="eastAsia"/>
          <w:b/>
          <w:bCs/>
          <w:sz w:val="32"/>
          <w:szCs w:val="32"/>
        </w:rPr>
        <w:t>工程运行管理单位</w:t>
      </w:r>
      <w:r>
        <w:rPr>
          <w:rFonts w:ascii="仿宋_GB2312" w:eastAsia="仿宋_GB2312" w:hAnsi="仿宋_GB2312" w:cs="仿宋_GB2312" w:hint="eastAsia"/>
          <w:b/>
          <w:bCs/>
          <w:kern w:val="2"/>
          <w:sz w:val="32"/>
          <w:szCs w:val="32"/>
        </w:rPr>
        <w:t>防范机制工作内容框架图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5DBC3C08" wp14:editId="1957DD3E">
            <wp:extent cx="7105650" cy="4857750"/>
            <wp:effectExtent l="0" t="0" r="0" b="0"/>
            <wp:docPr id="13" name="图片 63" descr="11.处置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3" descr="11.处置机制（工程运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105650" cy="4857750"/>
                    </a:xfrm>
                    <a:prstGeom prst="rect">
                      <a:avLst/>
                    </a:prstGeom>
                    <a:noFill/>
                    <a:ln>
                      <a:noFill/>
                    </a:ln>
                    <a:effectLst/>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图13 水利</w:t>
      </w:r>
      <w:r>
        <w:rPr>
          <w:rFonts w:ascii="仿宋_GB2312" w:eastAsia="仿宋_GB2312" w:hAnsi="仿宋_GB2312" w:cs="仿宋_GB2312" w:hint="eastAsia"/>
          <w:b/>
          <w:bCs/>
          <w:sz w:val="32"/>
          <w:szCs w:val="32"/>
        </w:rPr>
        <w:t>工程运行管理单位</w:t>
      </w:r>
      <w:r>
        <w:rPr>
          <w:rFonts w:ascii="仿宋_GB2312" w:eastAsia="仿宋_GB2312" w:hAnsi="仿宋_GB2312" w:cs="仿宋_GB2312" w:hint="eastAsia"/>
          <w:b/>
          <w:bCs/>
          <w:kern w:val="2"/>
          <w:sz w:val="32"/>
          <w:szCs w:val="32"/>
        </w:rPr>
        <w:t>处置机制工作内容框架图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5ACF614C" wp14:editId="60D48F47">
            <wp:extent cx="8470900" cy="4857750"/>
            <wp:effectExtent l="0" t="0" r="0" b="0"/>
            <wp:docPr id="14" name="图片 30" descr="12.责任机制（工程运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12.责任机制（工程运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470900" cy="4857750"/>
                    </a:xfrm>
                    <a:prstGeom prst="rect">
                      <a:avLst/>
                    </a:prstGeom>
                    <a:noFill/>
                    <a:ln>
                      <a:noFill/>
                    </a:ln>
                    <a:effectLst/>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图14 水利</w:t>
      </w:r>
      <w:r>
        <w:rPr>
          <w:rFonts w:ascii="仿宋_GB2312" w:eastAsia="仿宋_GB2312" w:hAnsi="仿宋_GB2312" w:cs="仿宋_GB2312" w:hint="eastAsia"/>
          <w:b/>
          <w:bCs/>
          <w:sz w:val="32"/>
          <w:szCs w:val="32"/>
        </w:rPr>
        <w:t>工程运行管理单位</w:t>
      </w:r>
      <w:r>
        <w:rPr>
          <w:rFonts w:ascii="仿宋_GB2312" w:eastAsia="仿宋_GB2312" w:hAnsi="仿宋_GB2312" w:cs="仿宋_GB2312" w:hint="eastAsia"/>
          <w:b/>
          <w:bCs/>
          <w:kern w:val="2"/>
          <w:sz w:val="32"/>
          <w:szCs w:val="32"/>
        </w:rPr>
        <w:t>责任机制工作内容框架图</w:t>
      </w:r>
    </w:p>
    <w:p w:rsidR="007800EB" w:rsidRDefault="00D67590">
      <w:pPr>
        <w:overflowPunct w:val="0"/>
        <w:spacing w:line="600" w:lineRule="exact"/>
        <w:jc w:val="center"/>
        <w:outlineLvl w:val="0"/>
        <w:rPr>
          <w:rFonts w:ascii="仿宋_GB2312" w:eastAsia="仿宋_GB2312" w:hAnsi="仿宋_GB2312" w:cs="仿宋_GB2312"/>
          <w:sz w:val="32"/>
          <w:szCs w:val="32"/>
        </w:rPr>
      </w:pPr>
      <w:bookmarkStart w:id="75" w:name="_Toc7006"/>
      <w:r>
        <w:rPr>
          <w:rFonts w:ascii="黑体" w:eastAsia="黑体" w:hAnsi="黑体" w:cs="黑体" w:hint="eastAsia"/>
          <w:sz w:val="32"/>
          <w:szCs w:val="32"/>
        </w:rPr>
        <w:lastRenderedPageBreak/>
        <w:t>第四章 其他水利生产经营单位“</w:t>
      </w:r>
      <w:r>
        <w:rPr>
          <w:rFonts w:ascii="宋体" w:eastAsia="黑体" w:hAnsi="宋体" w:cs="黑体" w:hint="eastAsia"/>
          <w:sz w:val="32"/>
          <w:szCs w:val="32"/>
        </w:rPr>
        <w:t>六项机制”工作要求</w:t>
      </w:r>
      <w:bookmarkEnd w:id="75"/>
    </w:p>
    <w:p w:rsidR="007800EB" w:rsidRDefault="007800EB">
      <w:pPr>
        <w:overflowPunct w:val="0"/>
        <w:spacing w:line="600" w:lineRule="exact"/>
        <w:ind w:firstLine="641"/>
        <w:outlineLvl w:val="1"/>
        <w:rPr>
          <w:rFonts w:ascii="黑体" w:eastAsia="黑体" w:hAnsi="黑体" w:cs="黑体"/>
          <w:sz w:val="32"/>
          <w:szCs w:val="32"/>
          <w:lang w:val="en"/>
        </w:rPr>
      </w:pPr>
      <w:bookmarkStart w:id="76" w:name="_Toc2529"/>
    </w:p>
    <w:p w:rsidR="007800EB" w:rsidRDefault="00D67590">
      <w:pPr>
        <w:overflowPunct w:val="0"/>
        <w:spacing w:line="600" w:lineRule="exact"/>
        <w:ind w:firstLine="641"/>
        <w:outlineLvl w:val="1"/>
        <w:rPr>
          <w:rFonts w:ascii="黑体" w:eastAsia="黑体" w:hAnsi="黑体" w:cs="黑体"/>
          <w:sz w:val="32"/>
          <w:szCs w:val="32"/>
          <w:lang w:val="en"/>
        </w:rPr>
      </w:pPr>
      <w:r>
        <w:rPr>
          <w:rFonts w:ascii="黑体" w:eastAsia="黑体" w:hAnsi="黑体" w:cs="黑体"/>
          <w:sz w:val="32"/>
          <w:szCs w:val="32"/>
          <w:lang w:val="en"/>
        </w:rPr>
        <w:t>1 查找机制</w:t>
      </w:r>
      <w:bookmarkEnd w:id="76"/>
    </w:p>
    <w:p w:rsidR="007800EB" w:rsidRDefault="00D67590">
      <w:pPr>
        <w:overflowPunct w:val="0"/>
        <w:spacing w:line="600" w:lineRule="exact"/>
        <w:ind w:firstLineChars="200" w:firstLine="640"/>
        <w:outlineLvl w:val="2"/>
        <w:rPr>
          <w:rFonts w:ascii="楷体" w:eastAsia="楷体" w:hAnsi="楷体" w:cs="楷体"/>
          <w:color w:val="FF0000"/>
          <w:sz w:val="32"/>
          <w:szCs w:val="32"/>
        </w:rPr>
      </w:pPr>
      <w:bookmarkStart w:id="77" w:name="_Toc19097"/>
      <w:r>
        <w:rPr>
          <w:rFonts w:ascii="楷体" w:eastAsia="楷体" w:hAnsi="楷体" w:cs="楷体" w:hint="eastAsia"/>
          <w:sz w:val="32"/>
          <w:szCs w:val="32"/>
        </w:rPr>
        <w:t>1.1 建立安全风险分级管控制度</w:t>
      </w:r>
      <w:bookmarkEnd w:id="7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其他水利生产经营单位应建立安全风险分级管控制度，明确危险源辨识、风险评价、风险预警、风险管控的程序、方法、频次等。</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78" w:name="_Toc22874"/>
      <w:r>
        <w:rPr>
          <w:rFonts w:ascii="楷体" w:eastAsia="楷体" w:hAnsi="楷体" w:cs="楷体" w:hint="eastAsia"/>
          <w:sz w:val="32"/>
          <w:szCs w:val="32"/>
        </w:rPr>
        <w:t>1.2 开展危险源辨识</w:t>
      </w:r>
      <w:bookmarkEnd w:id="78"/>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1.2.1 危险源辨识应确定危险源名称、所在位置、类别、级别、事故诱因、可能导致的后果。</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1.2.2 危险源辨识对象与范围应覆盖本单位所有区域、场所、部位和直接关联的外部环境；覆盖生产经营活动的所有工艺流程、设施、设备、工作面和管理体系；覆盖参与生产经营活动的所有部门、岗位和人员，以及生产经营活动涉及的所有危险物品，重点聚焦人员密集场所、设施、特种设备、作业场所、作业环境、作业安全、消防安全、燃气安全、交通安全等，结合本单位实际参照有关标准进行辨识。</w:t>
      </w:r>
    </w:p>
    <w:p w:rsidR="007800EB" w:rsidRDefault="00D67590">
      <w:pPr>
        <w:overflowPunct w:val="0"/>
        <w:spacing w:line="600" w:lineRule="exact"/>
        <w:ind w:firstLineChars="200" w:firstLine="640"/>
        <w:rPr>
          <w:rFonts w:ascii="仿宋_GB2312" w:eastAsia="仿宋_GB2312" w:hAnsi="仿宋_GB2312" w:cs="仿宋_GB2312"/>
          <w:sz w:val="32"/>
          <w:szCs w:val="32"/>
          <w:lang w:val="en"/>
        </w:rPr>
      </w:pPr>
      <w:r>
        <w:rPr>
          <w:rFonts w:ascii="仿宋_GB2312" w:eastAsia="仿宋_GB2312" w:hAnsi="仿宋_GB2312" w:cs="仿宋_GB2312" w:hint="eastAsia"/>
          <w:sz w:val="32"/>
          <w:szCs w:val="32"/>
        </w:rPr>
        <w:t>应将外委、外包、外租等项目、工作、场所纳入危险源辨识范围。</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1.2.3 危险源辨识可采取直接判定法、安全检查表法、预先危险性分析法及因果分析法等方法。应优先采用直接判定法，不能用直接判定法辨识的，可采用其他方法进行判定。</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水利勘测设计、水文监测、水利后勤保障等单位，应结</w:t>
      </w:r>
      <w:r>
        <w:rPr>
          <w:rFonts w:ascii="仿宋_GB2312" w:eastAsia="仿宋_GB2312" w:hAnsi="仿宋_GB2312" w:cs="仿宋_GB2312" w:hint="eastAsia"/>
          <w:sz w:val="32"/>
          <w:szCs w:val="32"/>
        </w:rPr>
        <w:lastRenderedPageBreak/>
        <w:t>合本单位实际，可参照《水利水电勘测设计单位安全生产标准化评审规程》（T/CWEC 17—2020）、《水文监测单位安全生产标准化评审规程》（T/CWEC 19—2020）、《水利后勤保障单位安全生产标准化评审规程》（T/CWEC 20—2020）等团体标准进行辨识。</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涉及其他行业领域生产经营活动应按照相关行业规定进行辨识。</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79" w:name="_Toc6472"/>
      <w:r>
        <w:rPr>
          <w:rFonts w:ascii="楷体" w:eastAsia="楷体" w:hAnsi="楷体" w:cs="楷体" w:hint="eastAsia"/>
          <w:sz w:val="32"/>
          <w:szCs w:val="32"/>
        </w:rPr>
        <w:t>1.3 建立危险源清单</w:t>
      </w:r>
      <w:bookmarkEnd w:id="7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其他水利生产经营单位应编制本单位危险源清单（见附件A.1），包括危险源名称、类别、所在位置、级别、事故诱因、可能导致的后果等。</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80" w:name="_Toc14368"/>
      <w:r>
        <w:rPr>
          <w:rFonts w:ascii="楷体" w:eastAsia="楷体" w:hAnsi="楷体" w:cs="楷体" w:hint="eastAsia"/>
          <w:sz w:val="32"/>
          <w:szCs w:val="32"/>
        </w:rPr>
        <w:t>1.4 动态辨识</w:t>
      </w:r>
      <w:bookmarkEnd w:id="8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hAnsi="仿宋_GB2312" w:hint="eastAsia"/>
          <w:sz w:val="32"/>
          <w:szCs w:val="32"/>
        </w:rPr>
        <w:t xml:space="preserve">1.4.1 </w:t>
      </w:r>
      <w:r>
        <w:rPr>
          <w:rFonts w:ascii="仿宋_GB2312" w:eastAsia="仿宋_GB2312" w:hAnsi="仿宋_GB2312" w:cs="仿宋_GB2312" w:hint="eastAsia"/>
          <w:sz w:val="32"/>
          <w:szCs w:val="32"/>
        </w:rPr>
        <w:t>根据本单位安全风险分级管控制度确定的危险源辨识周期开展动态辨识，动态辨识每季度应至少开展一次。</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1.4.2 发生下列情形时，应及时组织重新辨识：</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①相关法律法规、技术标准发布（修订）。</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②构（建）筑物、机械设备、设施场所、作业活动、作业环境、生产工艺、管理体系等相关要素发生较大变化。</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③发生生产安全事故。</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④对首次采用尚无相关技术标准的新技术、新材料、新设备、新工艺的部位或项目。</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⑤上级主管部门监督检查中发现新的重大风险危险源。</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81" w:name="_Toc5663"/>
      <w:r>
        <w:rPr>
          <w:rFonts w:ascii="方正黑体_GBK" w:eastAsia="方正黑体_GBK" w:hAnsi="方正黑体_GBK" w:cs="方正黑体_GBK" w:hint="eastAsia"/>
          <w:sz w:val="32"/>
          <w:szCs w:val="32"/>
        </w:rPr>
        <w:lastRenderedPageBreak/>
        <w:t xml:space="preserve">2 </w:t>
      </w:r>
      <w:proofErr w:type="gramStart"/>
      <w:r>
        <w:rPr>
          <w:rFonts w:ascii="方正黑体_GBK" w:eastAsia="方正黑体_GBK" w:hAnsi="方正黑体_GBK" w:cs="方正黑体_GBK" w:hint="eastAsia"/>
          <w:sz w:val="32"/>
          <w:szCs w:val="32"/>
        </w:rPr>
        <w:t>研</w:t>
      </w:r>
      <w:proofErr w:type="gramEnd"/>
      <w:r>
        <w:rPr>
          <w:rFonts w:ascii="方正黑体_GBK" w:eastAsia="方正黑体_GBK" w:hAnsi="方正黑体_GBK" w:cs="方正黑体_GBK" w:hint="eastAsia"/>
          <w:sz w:val="32"/>
          <w:szCs w:val="32"/>
        </w:rPr>
        <w:t>判机制</w:t>
      </w:r>
      <w:bookmarkEnd w:id="81"/>
    </w:p>
    <w:p w:rsidR="007800EB" w:rsidRDefault="00D67590">
      <w:pPr>
        <w:overflowPunct w:val="0"/>
        <w:spacing w:line="600" w:lineRule="exact"/>
        <w:ind w:firstLineChars="200" w:firstLine="640"/>
        <w:outlineLvl w:val="2"/>
        <w:rPr>
          <w:rFonts w:ascii="楷体" w:eastAsia="楷体" w:hAnsi="楷体" w:cs="楷体"/>
          <w:sz w:val="32"/>
          <w:szCs w:val="32"/>
        </w:rPr>
      </w:pPr>
      <w:bookmarkStart w:id="82" w:name="_Toc2365"/>
      <w:r>
        <w:rPr>
          <w:rFonts w:ascii="楷体" w:eastAsia="楷体" w:hAnsi="楷体" w:cs="楷体" w:hint="eastAsia"/>
          <w:sz w:val="32"/>
          <w:szCs w:val="32"/>
        </w:rPr>
        <w:t>2.1 评价风险等级</w:t>
      </w:r>
      <w:bookmarkEnd w:id="82"/>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2.1.1 其他水利生产经营单位应对所辨识危险源的风险等级逐一进行评价。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2.1.2 危险源的风险等级由高到低依次为重大风险、较大风险、一般风险和低风险四个等级。重大危险源的风险等级直接判定为重大风险，一般危险源可以采用作业条件危险性分析法（LEC）、风险矩阵法（LS）、安全检查表法等方法进行分析判定。一般危险源风险评价</w:t>
      </w:r>
      <w:proofErr w:type="gramStart"/>
      <w:r>
        <w:rPr>
          <w:rFonts w:ascii="仿宋_GB2312" w:eastAsia="仿宋_GB2312" w:hAnsi="仿宋_GB2312" w:cs="仿宋_GB2312" w:hint="eastAsia"/>
          <w:sz w:val="32"/>
          <w:szCs w:val="32"/>
        </w:rPr>
        <w:t>打分表</w:t>
      </w:r>
      <w:proofErr w:type="gramEnd"/>
      <w:r>
        <w:rPr>
          <w:rFonts w:ascii="仿宋_GB2312" w:eastAsia="仿宋_GB2312" w:hAnsi="仿宋_GB2312" w:cs="仿宋_GB2312" w:hint="eastAsia"/>
          <w:sz w:val="32"/>
          <w:szCs w:val="32"/>
        </w:rPr>
        <w:t>参考格式见附件A.2。</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83" w:name="_Toc4742"/>
      <w:r>
        <w:rPr>
          <w:rFonts w:ascii="楷体" w:eastAsia="楷体" w:hAnsi="楷体" w:cs="楷体" w:hint="eastAsia"/>
          <w:sz w:val="32"/>
          <w:szCs w:val="32"/>
        </w:rPr>
        <w:t>2.2 建立重大风险危险源专项档案</w:t>
      </w:r>
      <w:bookmarkEnd w:id="83"/>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其他水利生产经营单位应对本单位所有重大风险危险源建立专项档案，专项</w:t>
      </w:r>
      <w:r>
        <w:rPr>
          <w:rFonts w:ascii="仿宋_GB2312" w:eastAsia="仿宋_GB2312" w:hAnsi="仿宋_GB2312" w:cs="仿宋_GB2312"/>
          <w:sz w:val="32"/>
          <w:szCs w:val="32"/>
        </w:rPr>
        <w:t>档案包括但不限于</w:t>
      </w:r>
      <w:r>
        <w:rPr>
          <w:rFonts w:ascii="仿宋_GB2312" w:eastAsia="仿宋_GB2312" w:hAnsi="仿宋_GB2312" w:cs="仿宋_GB2312" w:hint="eastAsia"/>
          <w:sz w:val="32"/>
          <w:szCs w:val="32"/>
        </w:rPr>
        <w:t>重大风险</w:t>
      </w:r>
      <w:r>
        <w:rPr>
          <w:rFonts w:ascii="仿宋_GB2312" w:eastAsia="仿宋_GB2312" w:hAnsi="仿宋_GB2312" w:cs="仿宋_GB2312"/>
          <w:sz w:val="32"/>
          <w:szCs w:val="32"/>
        </w:rPr>
        <w:t>危险</w:t>
      </w:r>
      <w:proofErr w:type="gramStart"/>
      <w:r>
        <w:rPr>
          <w:rFonts w:ascii="仿宋_GB2312" w:eastAsia="仿宋_GB2312" w:hAnsi="仿宋_GB2312" w:cs="仿宋_GB2312"/>
          <w:sz w:val="32"/>
          <w:szCs w:val="32"/>
        </w:rPr>
        <w:t>源基本</w:t>
      </w:r>
      <w:proofErr w:type="gramEnd"/>
      <w:r>
        <w:rPr>
          <w:rFonts w:ascii="仿宋_GB2312" w:eastAsia="仿宋_GB2312" w:hAnsi="仿宋_GB2312" w:cs="仿宋_GB2312"/>
          <w:sz w:val="32"/>
          <w:szCs w:val="32"/>
        </w:rPr>
        <w:t>情况、安全管理制度及安全操作规程、安全监测监控记录、安全</w:t>
      </w:r>
      <w:r>
        <w:rPr>
          <w:rFonts w:ascii="仿宋_GB2312" w:eastAsia="仿宋_GB2312" w:hAnsi="仿宋_GB2312" w:cs="仿宋_GB2312" w:hint="eastAsia"/>
          <w:sz w:val="32"/>
          <w:szCs w:val="32"/>
        </w:rPr>
        <w:t>风险</w:t>
      </w:r>
      <w:r>
        <w:rPr>
          <w:rFonts w:ascii="仿宋_GB2312" w:eastAsia="仿宋_GB2312" w:hAnsi="仿宋_GB2312" w:cs="仿宋_GB2312"/>
          <w:sz w:val="32"/>
          <w:szCs w:val="32"/>
        </w:rPr>
        <w:t>警示</w:t>
      </w:r>
      <w:r>
        <w:rPr>
          <w:rFonts w:ascii="仿宋_GB2312" w:eastAsia="仿宋_GB2312" w:hAnsi="仿宋_GB2312" w:cs="仿宋_GB2312" w:hint="eastAsia"/>
          <w:sz w:val="32"/>
          <w:szCs w:val="32"/>
        </w:rPr>
        <w:t>牌</w:t>
      </w:r>
      <w:r>
        <w:rPr>
          <w:rFonts w:ascii="仿宋_GB2312" w:eastAsia="仿宋_GB2312" w:hAnsi="仿宋_GB2312" w:cs="仿宋_GB2312"/>
          <w:sz w:val="32"/>
          <w:szCs w:val="32"/>
        </w:rPr>
        <w:t>设置</w:t>
      </w:r>
      <w:r>
        <w:rPr>
          <w:rFonts w:ascii="仿宋_GB2312" w:eastAsia="仿宋_GB2312" w:hAnsi="仿宋_GB2312" w:cs="仿宋_GB2312" w:hint="eastAsia"/>
          <w:sz w:val="32"/>
          <w:szCs w:val="32"/>
        </w:rPr>
        <w:t>记录</w:t>
      </w:r>
      <w:r>
        <w:rPr>
          <w:rFonts w:ascii="仿宋_GB2312" w:eastAsia="仿宋_GB2312" w:hAnsi="仿宋_GB2312" w:cs="仿宋_GB2312"/>
          <w:sz w:val="32"/>
          <w:szCs w:val="32"/>
        </w:rPr>
        <w:t>、维修养护记录、“一源一案”及应急演练记录等资料。</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84" w:name="_Toc28914"/>
      <w:r>
        <w:rPr>
          <w:rFonts w:ascii="方正黑体_GBK" w:eastAsia="方正黑体_GBK" w:hAnsi="方正黑体_GBK" w:cs="方正黑体_GBK" w:hint="eastAsia"/>
          <w:sz w:val="32"/>
          <w:szCs w:val="32"/>
        </w:rPr>
        <w:t>3 预警机制</w:t>
      </w:r>
      <w:bookmarkEnd w:id="84"/>
    </w:p>
    <w:p w:rsidR="007800EB" w:rsidRDefault="00D67590">
      <w:pPr>
        <w:overflowPunct w:val="0"/>
        <w:spacing w:line="600" w:lineRule="exact"/>
        <w:ind w:firstLineChars="200" w:firstLine="640"/>
        <w:outlineLvl w:val="2"/>
        <w:rPr>
          <w:rFonts w:ascii="楷体" w:eastAsia="楷体" w:hAnsi="楷体" w:cs="楷体"/>
          <w:sz w:val="32"/>
          <w:szCs w:val="32"/>
        </w:rPr>
      </w:pPr>
      <w:bookmarkStart w:id="85" w:name="_Toc16456"/>
      <w:r>
        <w:rPr>
          <w:rFonts w:ascii="楷体" w:eastAsia="楷体" w:hAnsi="楷体" w:cs="楷体" w:hint="eastAsia"/>
          <w:sz w:val="32"/>
          <w:szCs w:val="32"/>
        </w:rPr>
        <w:t>3.1 落实监测监控措施</w:t>
      </w:r>
      <w:bookmarkEnd w:id="8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3.1.1 其他水利生产经营单位应对较大及以上风险危险源，逐一明确监测监控措施、频次、指标及预警阈值，建立危险源监控清单（见附件A.3）。</w:t>
      </w:r>
    </w:p>
    <w:p w:rsidR="007800EB" w:rsidRDefault="00D67590">
      <w:pPr>
        <w:overflowPunct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 xml:space="preserve">3.1.2 </w:t>
      </w:r>
      <w:r>
        <w:rPr>
          <w:rFonts w:ascii="仿宋_GB2312" w:eastAsia="仿宋_GB2312" w:hAnsi="仿宋_GB2312" w:cs="仿宋_GB2312" w:hint="eastAsia"/>
          <w:color w:val="000000"/>
          <w:sz w:val="32"/>
          <w:szCs w:val="32"/>
        </w:rPr>
        <w:t>其他水利生产经营单位应优先采用自动监测方式，加强对危险源特别是重大风险危险源的监测监控，合理</w:t>
      </w:r>
      <w:r>
        <w:rPr>
          <w:rFonts w:ascii="仿宋_GB2312" w:eastAsia="仿宋_GB2312" w:hAnsi="仿宋_GB2312" w:cs="仿宋_GB2312" w:hint="eastAsia"/>
          <w:color w:val="000000"/>
          <w:sz w:val="32"/>
          <w:szCs w:val="32"/>
        </w:rPr>
        <w:lastRenderedPageBreak/>
        <w:t>确定监测监控措施、频次、指标及预警阈值，并按照规定开展人工校核，确保监测设施设备正常运行。</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3.1.3 其他水利生产经营单位应按照确定的监测监控要求开展工作，记录保存监测监控、值班值守、巡查检查及设备设施维护保养等资料。</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86" w:name="_Toc17961"/>
      <w:r>
        <w:rPr>
          <w:rFonts w:ascii="楷体" w:eastAsia="楷体" w:hAnsi="楷体" w:cs="楷体" w:hint="eastAsia"/>
          <w:sz w:val="32"/>
          <w:szCs w:val="32"/>
        </w:rPr>
        <w:t>3.2 严格值班值守</w:t>
      </w:r>
      <w:bookmarkEnd w:id="8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3.2.1 其他水利生产经营单位应建立值班值守制度和事故信息报告制度，制定值班计划和人员安排表，值班人员应规范填写值班、交接班等记录。</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3.2.2 落实本单位各部门和属地水行政主管部门、应急管理部门以及应急救援队伍的常用、备用联系方式特别是值班联系方式，保持通信联络和信息渠道畅通。</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3.2.3 其他水利生产经营单位应加强对值班人员的培训、管理和考核，确保值班人员掌握必要的预警和应急处置知识，及时妥善处置相关情况，并做好详细记录。</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87" w:name="_Toc32200"/>
      <w:r>
        <w:rPr>
          <w:rFonts w:ascii="楷体" w:eastAsia="楷体" w:hAnsi="楷体" w:cs="楷体" w:hint="eastAsia"/>
          <w:sz w:val="32"/>
          <w:szCs w:val="32"/>
        </w:rPr>
        <w:t>3.3 及时实施预警</w:t>
      </w:r>
      <w:bookmarkEnd w:id="87"/>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3.3.1 当危险源监测指标值超过监测预警阈值后，其他水利生产经营单位应立即采取相应管控措施和应急处置措施。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3.3.2 当风险得到有效控制后，其他水利生产经营单位应解除预警，并认真总结查找管控体系和管控措施存在的问题和不足，完善相关措施。</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88" w:name="_Toc19541"/>
      <w:r>
        <w:rPr>
          <w:rFonts w:ascii="方正黑体_GBK" w:eastAsia="方正黑体_GBK" w:hAnsi="方正黑体_GBK" w:cs="方正黑体_GBK" w:hint="eastAsia"/>
          <w:sz w:val="32"/>
          <w:szCs w:val="32"/>
        </w:rPr>
        <w:t>4 防范机制</w:t>
      </w:r>
      <w:bookmarkEnd w:id="88"/>
    </w:p>
    <w:p w:rsidR="007800EB" w:rsidRDefault="00D67590">
      <w:pPr>
        <w:overflowPunct w:val="0"/>
        <w:spacing w:line="600" w:lineRule="exact"/>
        <w:ind w:firstLineChars="200" w:firstLine="640"/>
        <w:outlineLvl w:val="2"/>
        <w:rPr>
          <w:rFonts w:ascii="楷体" w:eastAsia="楷体" w:hAnsi="楷体" w:cs="楷体"/>
          <w:sz w:val="32"/>
          <w:szCs w:val="32"/>
        </w:rPr>
      </w:pPr>
      <w:bookmarkStart w:id="89" w:name="_Toc19683"/>
      <w:r>
        <w:rPr>
          <w:rFonts w:ascii="楷体" w:eastAsia="楷体" w:hAnsi="楷体" w:cs="楷体" w:hint="eastAsia"/>
          <w:sz w:val="32"/>
          <w:szCs w:val="32"/>
        </w:rPr>
        <w:lastRenderedPageBreak/>
        <w:t>4.1 落实风险分级管控责任</w:t>
      </w:r>
      <w:bookmarkEnd w:id="8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 危险</w:t>
      </w:r>
      <w:proofErr w:type="gramStart"/>
      <w:r>
        <w:rPr>
          <w:rFonts w:ascii="仿宋_GB2312" w:eastAsia="仿宋_GB2312" w:hAnsi="仿宋_GB2312" w:cs="仿宋_GB2312" w:hint="eastAsia"/>
          <w:sz w:val="32"/>
          <w:szCs w:val="32"/>
        </w:rPr>
        <w:t>源实行</w:t>
      </w:r>
      <w:proofErr w:type="gramEnd"/>
      <w:r>
        <w:rPr>
          <w:rFonts w:ascii="仿宋_GB2312" w:eastAsia="仿宋_GB2312" w:hAnsi="仿宋_GB2312" w:cs="仿宋_GB2312" w:hint="eastAsia"/>
          <w:sz w:val="32"/>
          <w:szCs w:val="32"/>
        </w:rPr>
        <w:t>分级管控，根据本单位组织机构设置情况，确定每个危险源的现场管控责任人、组织管控责任人、监督责任人。</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4.1.1.1 危险源的现场管控责任人应由一线员工担任。</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4.1.1.2 其他水利生产经营单位组织管控责任人和监督责任人按以下原则确定：</w:t>
      </w:r>
    </w:p>
    <w:p w:rsidR="007800EB" w:rsidRDefault="00D67590">
      <w:pPr>
        <w:overflowPunct w:val="0"/>
        <w:spacing w:line="600" w:lineRule="exact"/>
        <w:ind w:firstLineChars="200" w:firstLine="640"/>
        <w:rPr>
          <w:rFonts w:ascii="仿宋_GB2312" w:eastAsia="仿宋_GB2312" w:hAnsi="仿宋_GB2312" w:cs="仿宋_GB2312"/>
          <w:sz w:val="32"/>
          <w:szCs w:val="32"/>
          <w:highlight w:val="red"/>
        </w:rPr>
      </w:pPr>
      <w:r>
        <w:rPr>
          <w:rFonts w:ascii="仿宋_GB2312" w:eastAsia="仿宋_GB2312" w:hAnsi="仿宋_GB2312" w:cs="仿宋_GB2312" w:hint="eastAsia"/>
          <w:sz w:val="32"/>
          <w:szCs w:val="32"/>
        </w:rPr>
        <w:t>①重大风险危险源：由单位主要负责人组织管控，属地水行政主管部门或部直属单位监督。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②较大风险危险源：由单位分管业务部门的负责人组织管控，分管安全管理部门的负责人协助主要负责人监督。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③一般风险和低风险危险源：由单位业务部门负责人组织管控，安全管理部门负责人协助其分管领导监督。</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4.1.1.3 当某一等级风险缺少所对应的管控层级或不属于对应管控</w:t>
      </w:r>
      <w:proofErr w:type="gramStart"/>
      <w:r>
        <w:rPr>
          <w:rFonts w:ascii="仿宋_GB2312" w:eastAsia="仿宋_GB2312" w:hAnsi="仿宋_GB2312" w:cs="仿宋_GB2312" w:hint="eastAsia"/>
          <w:sz w:val="32"/>
          <w:szCs w:val="32"/>
        </w:rPr>
        <w:t>层级职能</w:t>
      </w:r>
      <w:proofErr w:type="gramEnd"/>
      <w:r>
        <w:rPr>
          <w:rFonts w:ascii="仿宋_GB2312" w:eastAsia="仿宋_GB2312" w:hAnsi="仿宋_GB2312" w:cs="仿宋_GB2312" w:hint="eastAsia"/>
          <w:sz w:val="32"/>
          <w:szCs w:val="32"/>
        </w:rPr>
        <w:t>范围时，其他水利生产经营单位应当明确对应层级的管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主体或由上一级具有管</w:t>
      </w:r>
      <w:proofErr w:type="gramStart"/>
      <w:r>
        <w:rPr>
          <w:rFonts w:ascii="仿宋_GB2312" w:eastAsia="仿宋_GB2312" w:hAnsi="仿宋_GB2312" w:cs="仿宋_GB2312" w:hint="eastAsia"/>
          <w:sz w:val="32"/>
          <w:szCs w:val="32"/>
        </w:rPr>
        <w:t>控职能</w:t>
      </w:r>
      <w:proofErr w:type="gramEnd"/>
      <w:r>
        <w:rPr>
          <w:rFonts w:ascii="仿宋_GB2312" w:eastAsia="仿宋_GB2312" w:hAnsi="仿宋_GB2312" w:cs="仿宋_GB2312" w:hint="eastAsia"/>
          <w:sz w:val="32"/>
          <w:szCs w:val="32"/>
        </w:rPr>
        <w:t>的层级进行提级管控。</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4.1.2 其他水利生产经营单位应编制本单位风险分级管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表（见附件A.4）。</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0" w:name="_Toc24902"/>
      <w:r>
        <w:rPr>
          <w:rFonts w:ascii="楷体" w:eastAsia="楷体" w:hAnsi="楷体" w:cs="楷体" w:hint="eastAsia"/>
          <w:sz w:val="32"/>
          <w:szCs w:val="32"/>
        </w:rPr>
        <w:t>4.2 落实风险管控措施</w:t>
      </w:r>
      <w:bookmarkEnd w:id="9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4.2.1 其他水利生产经营单位应采取符合相应法律法规、标准规范和危险源实际情况，实用管用的风险管控措施。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4.2.2 风险管控措施应由其他水利生产经营单位安全</w:t>
      </w:r>
      <w:r>
        <w:rPr>
          <w:rFonts w:ascii="仿宋_GB2312" w:eastAsia="仿宋_GB2312" w:hAnsi="仿宋_GB2312" w:cs="仿宋_GB2312" w:hint="eastAsia"/>
          <w:sz w:val="32"/>
          <w:szCs w:val="32"/>
        </w:rPr>
        <w:lastRenderedPageBreak/>
        <w:t>生产分管负责人组织各有关部门负责人、专业技术人员、一线员工共同研究制定。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较大及以上风险危险源管控措施应逐一制定，一般风险和低风险危险源管控措施可根据实际情况适当合并，建立危险源管控措施清单（见附件A.5）。</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 危险</w:t>
      </w:r>
      <w:proofErr w:type="gramStart"/>
      <w:r>
        <w:rPr>
          <w:rFonts w:ascii="仿宋_GB2312" w:eastAsia="仿宋_GB2312" w:hAnsi="仿宋_GB2312" w:cs="仿宋_GB2312" w:hint="eastAsia"/>
          <w:sz w:val="32"/>
          <w:szCs w:val="32"/>
        </w:rPr>
        <w:t>源风险管</w:t>
      </w:r>
      <w:proofErr w:type="gramEnd"/>
      <w:r>
        <w:rPr>
          <w:rFonts w:ascii="仿宋_GB2312" w:eastAsia="仿宋_GB2312" w:hAnsi="仿宋_GB2312" w:cs="仿宋_GB2312" w:hint="eastAsia"/>
          <w:sz w:val="32"/>
          <w:szCs w:val="32"/>
        </w:rPr>
        <w:t>控措施包括但不限于风险公告、工程技术、管理、教育培训、个体防护和应急处置等措施。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 风险公告措施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4.2.3.1.1 其他水利生产经营单位应根据本单位实际，设置安全风险空间分布图、安全风险公告栏、重大风险警示牌、岗位风险告知卡、安全警示标志等。安全风险空间分布图、安全风险公告栏、重大风险警示牌、岗位风险</w:t>
      </w:r>
      <w:proofErr w:type="gramStart"/>
      <w:r>
        <w:rPr>
          <w:rFonts w:ascii="仿宋_GB2312" w:eastAsia="仿宋_GB2312" w:hAnsi="仿宋_GB2312" w:cs="仿宋_GB2312" w:hint="eastAsia"/>
          <w:sz w:val="32"/>
          <w:szCs w:val="32"/>
        </w:rPr>
        <w:t>告知卡</w:t>
      </w:r>
      <w:proofErr w:type="gramEnd"/>
      <w:r>
        <w:rPr>
          <w:rFonts w:ascii="仿宋_GB2312" w:eastAsia="仿宋_GB2312" w:hAnsi="仿宋_GB2312" w:cs="仿宋_GB2312" w:hint="eastAsia"/>
          <w:sz w:val="32"/>
          <w:szCs w:val="32"/>
        </w:rPr>
        <w:t>的设置，各地已有相关规定的从其规定。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安全风险空间分布图。安全风险空间分布图以平面图等形式呈现生产经营现场不同风险等级区域的分布情况，一般设置于单位入口处或其他醒目位置，其中重大风险区标为红色、较大风险区为橙色、一般风险区为黄色、低风险区为蓝色（示例见附件B.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②</w:t>
      </w:r>
      <w:r>
        <w:rPr>
          <w:rFonts w:ascii="仿宋_GB2312" w:eastAsia="仿宋_GB2312" w:hAnsi="仿宋_GB2312" w:cs="仿宋_GB2312" w:hint="eastAsia"/>
          <w:sz w:val="32"/>
          <w:szCs w:val="32"/>
        </w:rPr>
        <w:t>安全风险公告栏。安全风险公告栏是对管理范围内的重大风险进行告知，一般设置于单位入口处或其他醒目位置，主要内容包括危险源名称、所在位置、类别、级别、风险等级、事故诱因、可能导致的后果、管控责任人（监督责任人、组织管控责任人、现场管控责任人）及报告电话等内</w:t>
      </w:r>
      <w:r>
        <w:rPr>
          <w:rFonts w:ascii="仿宋_GB2312" w:eastAsia="仿宋_GB2312" w:hAnsi="仿宋_GB2312" w:cs="仿宋_GB2312" w:hint="eastAsia"/>
          <w:sz w:val="32"/>
          <w:szCs w:val="32"/>
        </w:rPr>
        <w:lastRenderedPageBreak/>
        <w:t>容（示例见附件B.2）。</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③</w:t>
      </w:r>
      <w:r>
        <w:rPr>
          <w:rFonts w:ascii="仿宋_GB2312" w:eastAsia="仿宋_GB2312" w:hAnsi="仿宋_GB2312" w:cs="仿宋_GB2312" w:hint="eastAsia"/>
          <w:sz w:val="32"/>
          <w:szCs w:val="32"/>
        </w:rPr>
        <w:t>重大风险警示牌。重大风险警示牌是对重大风险危险源进行警示，一般设置于重大风险危险源所在场所的醒目位置，主要内容包括危险源名称、级别、风险等级、所在部位、事故诱因、可能导致的后果、管控措施、应急措施、管控责任人、报告电话等信息（示例见附件B.3）。</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④</w:t>
      </w:r>
      <w:r>
        <w:rPr>
          <w:rFonts w:ascii="仿宋_GB2312" w:eastAsia="仿宋_GB2312" w:hAnsi="仿宋_GB2312" w:cs="仿宋_GB2312" w:hint="eastAsia"/>
          <w:sz w:val="32"/>
          <w:szCs w:val="32"/>
        </w:rPr>
        <w:t>岗位风险告知卡。</w:t>
      </w:r>
      <w:r>
        <w:rPr>
          <w:rFonts w:ascii="仿宋_GB2312" w:eastAsia="仿宋_GB2312" w:hAnsi="仿宋_GB2312" w:cs="仿宋_GB2312"/>
          <w:sz w:val="32"/>
          <w:szCs w:val="32"/>
        </w:rPr>
        <w:t>岗位风险</w:t>
      </w:r>
      <w:proofErr w:type="gramStart"/>
      <w:r>
        <w:rPr>
          <w:rFonts w:ascii="仿宋_GB2312" w:eastAsia="仿宋_GB2312" w:hAnsi="仿宋_GB2312" w:cs="仿宋_GB2312"/>
          <w:sz w:val="32"/>
          <w:szCs w:val="32"/>
        </w:rPr>
        <w:t>告知卡</w:t>
      </w:r>
      <w:proofErr w:type="gramEnd"/>
      <w:r>
        <w:rPr>
          <w:rFonts w:ascii="仿宋_GB2312" w:eastAsia="仿宋_GB2312" w:hAnsi="仿宋_GB2312" w:cs="仿宋_GB2312"/>
          <w:sz w:val="32"/>
          <w:szCs w:val="32"/>
        </w:rPr>
        <w:t>是对</w:t>
      </w:r>
      <w:r>
        <w:rPr>
          <w:rFonts w:ascii="仿宋_GB2312" w:eastAsia="仿宋_GB2312" w:hAnsi="仿宋_GB2312" w:cs="仿宋_GB2312" w:hint="eastAsia"/>
          <w:sz w:val="32"/>
          <w:szCs w:val="32"/>
        </w:rPr>
        <w:t>本单位</w:t>
      </w:r>
      <w:r>
        <w:rPr>
          <w:rFonts w:ascii="仿宋_GB2312" w:eastAsia="仿宋_GB2312" w:hAnsi="仿宋_GB2312" w:cs="仿宋_GB2312"/>
          <w:sz w:val="32"/>
          <w:szCs w:val="32"/>
        </w:rPr>
        <w:t>具体</w:t>
      </w:r>
      <w:r>
        <w:rPr>
          <w:rFonts w:ascii="仿宋_GB2312" w:eastAsia="仿宋_GB2312" w:hAnsi="仿宋_GB2312" w:cs="仿宋_GB2312" w:hint="eastAsia"/>
          <w:sz w:val="32"/>
          <w:szCs w:val="32"/>
        </w:rPr>
        <w:t>工作</w:t>
      </w:r>
      <w:r>
        <w:rPr>
          <w:rFonts w:ascii="仿宋_GB2312" w:eastAsia="仿宋_GB2312" w:hAnsi="仿宋_GB2312" w:cs="仿宋_GB2312"/>
          <w:sz w:val="32"/>
          <w:szCs w:val="32"/>
        </w:rPr>
        <w:t>岗位进行风险告知，</w:t>
      </w:r>
      <w:r>
        <w:rPr>
          <w:rFonts w:ascii="仿宋_GB2312" w:eastAsia="仿宋_GB2312" w:hAnsi="仿宋_GB2312" w:cs="仿宋_GB2312" w:hint="eastAsia"/>
          <w:sz w:val="32"/>
          <w:szCs w:val="32"/>
        </w:rPr>
        <w:t>设置于岗位工作场所或由岗位从业人员随身携带，</w:t>
      </w:r>
      <w:r>
        <w:rPr>
          <w:rFonts w:ascii="仿宋_GB2312" w:eastAsia="仿宋_GB2312" w:hAnsi="仿宋_GB2312" w:cs="仿宋_GB2312"/>
          <w:sz w:val="32"/>
          <w:szCs w:val="32"/>
        </w:rPr>
        <w:t>主要包括岗位名称、涉及的</w:t>
      </w:r>
      <w:r>
        <w:rPr>
          <w:rFonts w:ascii="仿宋_GB2312" w:eastAsia="仿宋_GB2312" w:hAnsi="仿宋_GB2312" w:cs="仿宋_GB2312" w:hint="eastAsia"/>
          <w:sz w:val="32"/>
          <w:szCs w:val="32"/>
        </w:rPr>
        <w:t>主要</w:t>
      </w:r>
      <w:r>
        <w:rPr>
          <w:rFonts w:ascii="仿宋_GB2312" w:eastAsia="仿宋_GB2312" w:hAnsi="仿宋_GB2312" w:cs="仿宋_GB2312"/>
          <w:sz w:val="32"/>
          <w:szCs w:val="32"/>
        </w:rPr>
        <w:t>危险源、事故诱因、可能导致的后果、安全操作要点以及风险防范、应急处置措施、报告电话等内容</w:t>
      </w:r>
      <w:r>
        <w:rPr>
          <w:rFonts w:ascii="仿宋_GB2312" w:eastAsia="仿宋_GB2312" w:hAnsi="仿宋_GB2312" w:cs="仿宋_GB2312" w:hint="eastAsia"/>
          <w:sz w:val="32"/>
          <w:szCs w:val="32"/>
        </w:rPr>
        <w:t>（示例见附件B.4）。</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汉仪书宋二S" w:eastAsia="汉仪书宋二S" w:hAnsi="汉仪书宋二S" w:cs="汉仪书宋二S" w:hint="eastAsia"/>
          <w:sz w:val="32"/>
          <w:szCs w:val="32"/>
        </w:rPr>
        <w:t>⑤</w:t>
      </w:r>
      <w:r>
        <w:rPr>
          <w:rFonts w:ascii="仿宋_GB2312" w:eastAsia="仿宋_GB2312" w:hAnsi="仿宋_GB2312" w:cs="仿宋_GB2312" w:hint="eastAsia"/>
          <w:sz w:val="32"/>
          <w:szCs w:val="32"/>
        </w:rPr>
        <w:t>安全警示标志。安全警示标志应设置于存在较大及以上风险危险源的工作场所和岗位。安全警示标志的内容、规格、颜色、材质、设置高度等应符合《图形符号 安全色和安全标志 第5部分:安全标志使用原则与要求》（GB/T 2893.5—2020）、《安全标志及其使用导则》（GB 2894—2008）、《消防安全标志 第1部分：标志》（GB 13495.1—2015）等要求。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4.2.3.1.2 风险公告措施应</w:t>
      </w:r>
      <w:proofErr w:type="gramStart"/>
      <w:r>
        <w:rPr>
          <w:rFonts w:ascii="仿宋_GB2312" w:eastAsia="仿宋_GB2312" w:hAnsi="仿宋_GB2312" w:cs="仿宋_GB2312" w:hint="eastAsia"/>
          <w:sz w:val="32"/>
          <w:szCs w:val="32"/>
        </w:rPr>
        <w:t>随危险</w:t>
      </w:r>
      <w:proofErr w:type="gramEnd"/>
      <w:r>
        <w:rPr>
          <w:rFonts w:ascii="仿宋_GB2312" w:eastAsia="仿宋_GB2312" w:hAnsi="仿宋_GB2312" w:cs="仿宋_GB2312" w:hint="eastAsia"/>
          <w:sz w:val="32"/>
          <w:szCs w:val="32"/>
        </w:rPr>
        <w:t>源和风险的动态变化及时更新。</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4.2.3.1.3 其他水利生产经营单位应通过讲解、语音广播、风险告知书等多种形式，</w:t>
      </w:r>
      <w:r>
        <w:rPr>
          <w:rFonts w:ascii="仿宋_GB2312" w:eastAsia="仿宋_GB2312" w:hAnsi="仿宋_GB2312" w:cs="仿宋_GB2312"/>
          <w:sz w:val="32"/>
          <w:szCs w:val="32"/>
        </w:rPr>
        <w:t>及时</w:t>
      </w:r>
      <w:r>
        <w:rPr>
          <w:rFonts w:ascii="仿宋_GB2312" w:eastAsia="仿宋_GB2312" w:hAnsi="仿宋_GB2312" w:cs="仿宋_GB2312" w:hint="eastAsia"/>
          <w:sz w:val="32"/>
          <w:szCs w:val="32"/>
        </w:rPr>
        <w:t>向本单位从业人员和外来人员</w:t>
      </w:r>
      <w:r>
        <w:rPr>
          <w:rFonts w:ascii="仿宋_GB2312" w:eastAsia="仿宋_GB2312" w:hAnsi="仿宋_GB2312" w:cs="仿宋_GB2312"/>
          <w:sz w:val="32"/>
          <w:szCs w:val="32"/>
        </w:rPr>
        <w:t>告知</w:t>
      </w:r>
      <w:r>
        <w:rPr>
          <w:rFonts w:ascii="仿宋_GB2312" w:eastAsia="仿宋_GB2312" w:hAnsi="仿宋_GB2312" w:cs="仿宋_GB2312" w:hint="eastAsia"/>
          <w:sz w:val="32"/>
          <w:szCs w:val="32"/>
        </w:rPr>
        <w:t>安全</w:t>
      </w:r>
      <w:r>
        <w:rPr>
          <w:rFonts w:ascii="仿宋_GB2312" w:eastAsia="仿宋_GB2312" w:hAnsi="仿宋_GB2312" w:cs="仿宋_GB2312"/>
          <w:sz w:val="32"/>
          <w:szCs w:val="32"/>
        </w:rPr>
        <w:t>风险基本情况及防范、应急措施</w:t>
      </w:r>
      <w:r>
        <w:rPr>
          <w:rFonts w:ascii="仿宋_GB2312" w:eastAsia="仿宋_GB2312" w:hAnsi="仿宋_GB2312" w:cs="仿宋_GB2312" w:hint="eastAsia"/>
          <w:sz w:val="32"/>
          <w:szCs w:val="32"/>
        </w:rPr>
        <w:t>，并将有关信</w:t>
      </w:r>
      <w:r>
        <w:rPr>
          <w:rFonts w:ascii="仿宋_GB2312" w:eastAsia="仿宋_GB2312" w:hAnsi="仿宋_GB2312" w:cs="仿宋_GB2312" w:hint="eastAsia"/>
          <w:sz w:val="32"/>
          <w:szCs w:val="32"/>
        </w:rPr>
        <w:lastRenderedPageBreak/>
        <w:t>息提前告知可能直接影响范围内的相关单位和人员。</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4.2.3.2 工程技术措施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①消除或减弱。通过对装置、设备设施、工艺等的优化设计消除危险源。</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②替代。用低危害物质替代或降低系统能量。</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③封闭。对产生或导致危害的设施或场所进行密闭。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④隔离。通过隔离带、栅栏、警戒绳等把人员与危险区域隔开，采用隔声罩以降低噪声等。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⑤移开或改变方向。调整危险源所在位置，改变有毒有害气体排放口等。</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4.2.3.3 管理措施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①</w:t>
      </w:r>
      <w:r>
        <w:rPr>
          <w:rFonts w:ascii="仿宋_GB2312" w:eastAsia="仿宋_GB2312" w:hAnsi="仿宋_GB2312" w:cs="仿宋_GB2312"/>
          <w:kern w:val="2"/>
          <w:sz w:val="32"/>
          <w:szCs w:val="32"/>
        </w:rPr>
        <w:t>制定实施作业程序、安全许可、安全操作规程等。</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②</w:t>
      </w:r>
      <w:r>
        <w:rPr>
          <w:rFonts w:ascii="仿宋_GB2312" w:eastAsia="仿宋_GB2312" w:hAnsi="仿宋_GB2312" w:cs="仿宋_GB2312"/>
          <w:kern w:val="2"/>
          <w:sz w:val="32"/>
          <w:szCs w:val="32"/>
        </w:rPr>
        <w:t>合理调控作业时间、减少暴露时间。</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③</w:t>
      </w:r>
      <w:r>
        <w:rPr>
          <w:rFonts w:ascii="仿宋_GB2312" w:eastAsia="仿宋_GB2312" w:hAnsi="仿宋_GB2312" w:cs="仿宋_GB2312"/>
          <w:kern w:val="2"/>
          <w:sz w:val="32"/>
          <w:szCs w:val="32"/>
        </w:rPr>
        <w:t>监测监控、巡查，尤其是</w:t>
      </w:r>
      <w:r>
        <w:rPr>
          <w:rFonts w:ascii="仿宋_GB2312" w:eastAsia="仿宋_GB2312" w:hAnsi="仿宋_GB2312" w:cs="仿宋_GB2312" w:hint="eastAsia"/>
          <w:kern w:val="2"/>
          <w:sz w:val="32"/>
          <w:szCs w:val="32"/>
        </w:rPr>
        <w:t>对</w:t>
      </w:r>
      <w:r>
        <w:rPr>
          <w:rFonts w:ascii="仿宋_GB2312" w:eastAsia="仿宋_GB2312" w:hAnsi="仿宋_GB2312" w:cs="仿宋_GB2312"/>
          <w:kern w:val="2"/>
          <w:sz w:val="32"/>
          <w:szCs w:val="32"/>
        </w:rPr>
        <w:t>危险物品的</w:t>
      </w:r>
      <w:r>
        <w:rPr>
          <w:rFonts w:ascii="仿宋_GB2312" w:eastAsia="仿宋_GB2312" w:hAnsi="仿宋_GB2312" w:cs="仿宋_GB2312" w:hint="eastAsia"/>
          <w:kern w:val="2"/>
          <w:sz w:val="32"/>
          <w:szCs w:val="32"/>
        </w:rPr>
        <w:t>存储、</w:t>
      </w:r>
      <w:r>
        <w:rPr>
          <w:rFonts w:ascii="仿宋_GB2312" w:eastAsia="仿宋_GB2312" w:hAnsi="仿宋_GB2312" w:cs="仿宋_GB2312"/>
          <w:kern w:val="2"/>
          <w:sz w:val="32"/>
          <w:szCs w:val="32"/>
        </w:rPr>
        <w:t>使用。</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④</w:t>
      </w:r>
      <w:r>
        <w:rPr>
          <w:rFonts w:ascii="仿宋_GB2312" w:eastAsia="仿宋_GB2312" w:hAnsi="仿宋_GB2312" w:cs="仿宋_GB2312"/>
          <w:kern w:val="2"/>
          <w:sz w:val="32"/>
          <w:szCs w:val="32"/>
        </w:rPr>
        <w:t>警报和警示信号，提高作业人员注意力。</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⑤</w:t>
      </w:r>
      <w:r>
        <w:rPr>
          <w:rFonts w:ascii="仿宋_GB2312" w:eastAsia="仿宋_GB2312" w:hAnsi="仿宋_GB2312" w:cs="仿宋_GB2312"/>
          <w:kern w:val="2"/>
          <w:sz w:val="32"/>
          <w:szCs w:val="32"/>
        </w:rPr>
        <w:t>对处在同一岗位、同一作业场所、同一工序内有相互影响的不同单位和作业人员，通过签订协议等形式明确各自的安全生产责任和义务。</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⑥</w:t>
      </w:r>
      <w:r>
        <w:rPr>
          <w:rFonts w:ascii="仿宋_GB2312" w:eastAsia="仿宋_GB2312" w:hAnsi="仿宋_GB2312" w:cs="仿宋_GB2312"/>
          <w:kern w:val="2"/>
          <w:sz w:val="32"/>
          <w:szCs w:val="32"/>
        </w:rPr>
        <w:t>购买安全生产责任保险。</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⑦其他根据单位实际可以采取的管理措施。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4.2.3.4 教育培训措施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其他水利生产经营单位应定期组织从业人员开展教育培训，使相关人员熟练掌握危险源辨识、风险评价、风险</w:t>
      </w:r>
      <w:proofErr w:type="gramStart"/>
      <w:r>
        <w:rPr>
          <w:rFonts w:ascii="仿宋_GB2312" w:eastAsia="仿宋_GB2312" w:hAnsi="仿宋_GB2312" w:cs="仿宋_GB2312" w:hint="eastAsia"/>
          <w:sz w:val="32"/>
          <w:szCs w:val="32"/>
        </w:rPr>
        <w:t>管</w:t>
      </w:r>
      <w:r>
        <w:rPr>
          <w:rFonts w:ascii="仿宋_GB2312" w:eastAsia="仿宋_GB2312" w:hAnsi="仿宋_GB2312" w:cs="仿宋_GB2312" w:hint="eastAsia"/>
          <w:sz w:val="32"/>
          <w:szCs w:val="32"/>
        </w:rPr>
        <w:lastRenderedPageBreak/>
        <w:t>控及应急</w:t>
      </w:r>
      <w:proofErr w:type="gramEnd"/>
      <w:r>
        <w:rPr>
          <w:rFonts w:ascii="仿宋_GB2312" w:eastAsia="仿宋_GB2312" w:hAnsi="仿宋_GB2312" w:cs="仿宋_GB2312" w:hint="eastAsia"/>
          <w:sz w:val="32"/>
          <w:szCs w:val="32"/>
        </w:rPr>
        <w:t>处置知识。</w:t>
      </w:r>
    </w:p>
    <w:p w:rsidR="007800EB" w:rsidRDefault="00D67590">
      <w:pPr>
        <w:overflowPunct w:val="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4.2.3.5 个体防护措施</w:t>
      </w:r>
    </w:p>
    <w:p w:rsidR="007800EB" w:rsidRDefault="00D67590">
      <w:pPr>
        <w:pStyle w:val="a0"/>
        <w:spacing w:line="600" w:lineRule="exact"/>
        <w:ind w:firstLine="640"/>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其他水利生产经营单位应根据实际情况，按规范配备符合国家标准或行业标准的</w:t>
      </w:r>
      <w:r>
        <w:rPr>
          <w:rFonts w:ascii="仿宋_GB2312" w:eastAsia="仿宋_GB2312" w:hAnsi="仿宋_GB2312" w:cs="仿宋_GB2312"/>
          <w:kern w:val="2"/>
          <w:sz w:val="32"/>
          <w:szCs w:val="32"/>
        </w:rPr>
        <w:t>个体</w:t>
      </w:r>
      <w:r>
        <w:rPr>
          <w:rFonts w:ascii="仿宋_GB2312" w:eastAsia="仿宋_GB2312" w:hAnsi="仿宋_GB2312" w:cs="仿宋_GB2312" w:hint="eastAsia"/>
          <w:kern w:val="2"/>
          <w:sz w:val="32"/>
          <w:szCs w:val="32"/>
        </w:rPr>
        <w:t>防护用品，从业人员应规范佩戴防护用品。</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 应急处置措施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4.2.3.6.1 重大风险危险源应落实“一源一案”。对于同一类别的重大风险危险源，可以综合考虑管理主体或管控措施的具体情况分类制定相应的现场处置方案或专项应急预案。</w:t>
      </w:r>
    </w:p>
    <w:p w:rsidR="007800EB" w:rsidRDefault="00D67590">
      <w:pPr>
        <w:pStyle w:val="a0"/>
        <w:spacing w:line="600" w:lineRule="exact"/>
        <w:ind w:firstLine="640"/>
      </w:pPr>
      <w:r>
        <w:rPr>
          <w:rFonts w:ascii="仿宋_GB2312" w:eastAsia="仿宋_GB2312" w:hAnsi="仿宋_GB2312" w:cs="仿宋_GB2312" w:hint="eastAsia"/>
          <w:sz w:val="32"/>
          <w:szCs w:val="32"/>
        </w:rPr>
        <w:t>其他危险源应明确现场处置、伤员抢救、人员撤离、现场控制、事故报告等措施。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4.2.3.6.2 其他水利生产经营单位应当针对工作场所、岗位的特点编制应急处置卡，主要内容包括应急处置程序、措施、相关联络人员和联系方式，发放给从业人员随身携带或在现场显著位置放置（示例见附件B.5）。</w:t>
      </w:r>
    </w:p>
    <w:p w:rsidR="007800EB" w:rsidRDefault="00D67590">
      <w:pPr>
        <w:overflowPunct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4.2.4 其他水利生产经营单位应结合危险源动态辨识情况，对危险源的管控措施每季度至少评估一次，发现问题及时完善和改进。</w:t>
      </w:r>
    </w:p>
    <w:p w:rsidR="007800EB" w:rsidRDefault="00D67590">
      <w:pPr>
        <w:overflowPunct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当危险源或其风险等级发生变化时，应及时对管控措施重新检查评估，完善相关措施。</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4.2.5 其他水利生产经营单位应通过水利安全生产监管信息系统，及时将重大风险危险源报送负有直接监管责任</w:t>
      </w:r>
      <w:r>
        <w:rPr>
          <w:rFonts w:ascii="仿宋_GB2312" w:eastAsia="仿宋_GB2312" w:hAnsi="仿宋_GB2312" w:cs="仿宋_GB2312" w:hint="eastAsia"/>
          <w:sz w:val="32"/>
          <w:szCs w:val="32"/>
        </w:rPr>
        <w:lastRenderedPageBreak/>
        <w:t>的主管部门备案（见附件A.6）。危险物品重大危险源应按规定同时报应急管理部门和有关部门备案。</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4.2.6 其他水利生产经营单位应编制危险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包括危险源名称、所在位置、类别、级别、评估方法、风险等级、监测方式及频次、管控措施、较大及以上风险危险源预警条件、监督责任人、组织管控责任人、现场管控责任人及联系方式等与危险</w:t>
      </w:r>
      <w:proofErr w:type="gramStart"/>
      <w:r>
        <w:rPr>
          <w:rFonts w:ascii="仿宋_GB2312" w:eastAsia="仿宋_GB2312" w:hAnsi="仿宋_GB2312" w:cs="仿宋_GB2312" w:hint="eastAsia"/>
          <w:sz w:val="32"/>
          <w:szCs w:val="32"/>
        </w:rPr>
        <w:t>源相关</w:t>
      </w:r>
      <w:proofErr w:type="gramEnd"/>
      <w:r>
        <w:rPr>
          <w:rFonts w:ascii="仿宋_GB2312" w:eastAsia="仿宋_GB2312" w:hAnsi="仿宋_GB2312" w:cs="仿宋_GB2312" w:hint="eastAsia"/>
          <w:sz w:val="32"/>
          <w:szCs w:val="32"/>
        </w:rPr>
        <w:t>的各项信息，由单位安全生产分管负责人和主要负责人审核确认。相关信息按规定上报水利安全生产监管信息系统。</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4.2.7 其他水利生产经营单位应于每季度首月6日前，通过水利安全生产监管信息系统上报本单位上季度危险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1" w:name="_Toc4586"/>
      <w:r>
        <w:rPr>
          <w:rFonts w:ascii="楷体" w:eastAsia="楷体" w:hAnsi="楷体" w:cs="楷体" w:hint="eastAsia"/>
          <w:sz w:val="32"/>
          <w:szCs w:val="32"/>
        </w:rPr>
        <w:t>4.3 编制危险源辨识与风险评价报告</w:t>
      </w:r>
      <w:bookmarkEnd w:id="9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4.3.1 其他水利生产经营单位首次开展危险源辨识与风险评价时，应根据危险源辨识、风险评价、制定的管控措施等成果，编制危险源辨识与风险评价报告，并由相关业务部门负责人、安全管理部门负责人、安全生产分管负责人和主要负责人签字确认，必要时组织专家进行审查后确认。报告内容应包括单位简介、辨识与评价主要依据、辨识与评价方法、辨识与评价内容、安全管控措施、应急预案、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等（见附件A.8）。</w:t>
      </w:r>
    </w:p>
    <w:p w:rsidR="007800EB" w:rsidRDefault="00D67590">
      <w:pPr>
        <w:overflowPunct w:val="0"/>
        <w:spacing w:line="600" w:lineRule="exact"/>
        <w:ind w:firstLineChars="200" w:firstLine="640"/>
      </w:pPr>
      <w:r>
        <w:rPr>
          <w:rFonts w:ascii="仿宋_GB2312" w:eastAsia="仿宋_GB2312" w:hAnsi="仿宋_GB2312" w:cs="仿宋_GB2312" w:hint="eastAsia"/>
          <w:sz w:val="32"/>
          <w:szCs w:val="32"/>
        </w:rPr>
        <w:t>仅涉及办公场所、咨询服务等风险程度较低的水利生产经营单位可不编制危险源辨识与风险评价报告，填写危险</w:t>
      </w:r>
      <w:proofErr w:type="gramStart"/>
      <w:r>
        <w:rPr>
          <w:rFonts w:ascii="仿宋_GB2312" w:eastAsia="仿宋_GB2312" w:hAnsi="仿宋_GB2312" w:cs="仿宋_GB2312" w:hint="eastAsia"/>
          <w:sz w:val="32"/>
          <w:szCs w:val="32"/>
        </w:rPr>
        <w:t>源</w:t>
      </w:r>
      <w:r>
        <w:rPr>
          <w:rFonts w:ascii="仿宋_GB2312" w:eastAsia="仿宋_GB2312" w:hAnsi="仿宋_GB2312" w:cs="仿宋_GB2312" w:hint="eastAsia"/>
          <w:sz w:val="32"/>
          <w:szCs w:val="32"/>
        </w:rPr>
        <w:lastRenderedPageBreak/>
        <w:t>信息</w:t>
      </w:r>
      <w:proofErr w:type="gramEnd"/>
      <w:r>
        <w:rPr>
          <w:rFonts w:ascii="仿宋_GB2312" w:eastAsia="仿宋_GB2312" w:hAnsi="仿宋_GB2312" w:cs="仿宋_GB2312" w:hint="eastAsia"/>
          <w:sz w:val="32"/>
          <w:szCs w:val="32"/>
        </w:rPr>
        <w:t>表（见附件A.7），由单位安全生产分管负责人和主要负责人签字确认。</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4.3.2 其他水利生产经营单位开展危险源动态辨识时应同步更新危险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表（见附件A.7），可不重新编制危险源辨识与风险评价报告。</w:t>
      </w:r>
    </w:p>
    <w:p w:rsidR="007800EB" w:rsidRDefault="00D67590">
      <w:pPr>
        <w:pStyle w:val="a0"/>
        <w:spacing w:line="600" w:lineRule="exact"/>
        <w:ind w:firstLine="640"/>
        <w:rPr>
          <w:rFonts w:ascii="楷体" w:eastAsia="楷体" w:hAnsi="楷体" w:cs="楷体"/>
          <w:sz w:val="32"/>
          <w:szCs w:val="32"/>
        </w:rPr>
      </w:pPr>
      <w:r>
        <w:rPr>
          <w:rFonts w:ascii="楷体" w:eastAsia="楷体" w:hAnsi="楷体" w:cs="楷体" w:hint="eastAsia"/>
          <w:sz w:val="32"/>
          <w:szCs w:val="32"/>
        </w:rPr>
        <w:t>4.4 及时排查治理事故隐患</w:t>
      </w:r>
    </w:p>
    <w:p w:rsidR="007800EB" w:rsidRDefault="00D67590">
      <w:pPr>
        <w:overflowPunct w:val="0"/>
        <w:spacing w:line="600" w:lineRule="exact"/>
        <w:ind w:firstLineChars="200" w:firstLine="640"/>
      </w:pPr>
      <w:r>
        <w:rPr>
          <w:rFonts w:ascii="仿宋_GB2312" w:eastAsia="仿宋_GB2312" w:hAnsi="仿宋_GB2312" w:cs="仿宋_GB2312" w:hint="eastAsia"/>
          <w:sz w:val="32"/>
          <w:szCs w:val="32"/>
        </w:rPr>
        <w:t>4.4.1 其他水利生产经营单位应制定隐患排查治理制度，明确危险</w:t>
      </w:r>
      <w:proofErr w:type="gramStart"/>
      <w:r>
        <w:rPr>
          <w:rFonts w:ascii="仿宋_GB2312" w:eastAsia="仿宋_GB2312" w:hAnsi="仿宋_GB2312" w:cs="仿宋_GB2312" w:hint="eastAsia"/>
          <w:sz w:val="32"/>
          <w:szCs w:val="32"/>
        </w:rPr>
        <w:t>源现场管</w:t>
      </w:r>
      <w:proofErr w:type="gramEnd"/>
      <w:r>
        <w:rPr>
          <w:rFonts w:ascii="仿宋_GB2312" w:eastAsia="仿宋_GB2312" w:hAnsi="仿宋_GB2312" w:cs="仿宋_GB2312" w:hint="eastAsia"/>
          <w:sz w:val="32"/>
          <w:szCs w:val="32"/>
        </w:rPr>
        <w:t>控责任人、组织管控责任人和监督责任人及其他相关人员的隐患排查治理责任、排查频次、隐患整改等要求，将重大事故隐患判定标准纳入隐患排查治理制度。</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4.4.2 其他水利生产经营单位主要负责人应将学习掌握相关重大事故隐患判定标准纳入本单位安全生产教育培训计划并组织实施。单位安全生产分管负责人以及安全生产管理人员应带头学习并熟练掌握重大事故隐患判定标准，将学习情况和学习效果作为安全生产检查和事故隐患排查治理的重点。</w:t>
      </w:r>
    </w:p>
    <w:p w:rsidR="007800EB" w:rsidRDefault="00D67590">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4.4.3 其他水利生产经营单位主要负责人每季度至少一次对本单位重大事故隐患排查治理情况带队进行检查。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4.4.4 其他水利生产经营单位相关责任人员按照制度定期对危险源管控措施落实情况进行检查，发现缺失或失效的启动隐患治理流程。</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4.4.5 其他水利生产经营单位应对发现的事故隐患进</w:t>
      </w:r>
      <w:r>
        <w:rPr>
          <w:rFonts w:ascii="仿宋_GB2312" w:eastAsia="仿宋_GB2312" w:hAnsi="仿宋_GB2312" w:cs="仿宋_GB2312" w:hint="eastAsia"/>
          <w:sz w:val="32"/>
          <w:szCs w:val="32"/>
        </w:rPr>
        <w:lastRenderedPageBreak/>
        <w:t>行整改。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.1 一般事故隐患，发现后应立即整改。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.2 重大事故隐患，发现后应立即整改。不能立即整改的要做到责任、措施、资金、时限和预案“五落实”，及时将治理进展情况向负有直接监管责任的水行政主管部门及其他相关部门报告。其他水利生产经营单位由主要负责人组织制定重大事故隐患治理方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.3 其他水利生产经营单位应如实记录事故隐患排查治理情况，并通过职工大会或者职工代表大会、信息公示栏等方式向从业人员通报。</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 xml:space="preserve"> 其他水利生产经营单位应对事故隐患实行闭环管理。隐患整改完成后，应对隐患治理情况进行评估，及时验收销号。重大事故隐患整改完成后，应通过水利安全生产监管信息系统报送负有直接监管责任的主管部门审核销号。</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 xml:space="preserve"> 其他水利生产经营单位应建立隐患排查治理工作台账。台</w:t>
      </w:r>
      <w:proofErr w:type="gramStart"/>
      <w:r>
        <w:rPr>
          <w:rFonts w:ascii="仿宋_GB2312" w:eastAsia="仿宋_GB2312" w:hAnsi="仿宋_GB2312" w:cs="仿宋_GB2312" w:hint="eastAsia"/>
          <w:sz w:val="32"/>
          <w:szCs w:val="32"/>
        </w:rPr>
        <w:t>账包括</w:t>
      </w:r>
      <w:proofErr w:type="gramEnd"/>
      <w:r>
        <w:rPr>
          <w:rFonts w:ascii="仿宋_GB2312" w:eastAsia="仿宋_GB2312" w:hAnsi="仿宋_GB2312" w:cs="仿宋_GB2312" w:hint="eastAsia"/>
          <w:sz w:val="32"/>
          <w:szCs w:val="32"/>
        </w:rPr>
        <w:t>但不限于：</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①事故隐患整改通知书（见附件A.9）。</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②事故隐患整改回复报告单（见附件A.10）。</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③事故隐患排查治理统计表（见附件A.11）。</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 xml:space="preserve"> 其他水利生产经营单位应于每月6日前，通过水利安全生产监管信息系统上报本单位上月隐患排查治理信息（见附件A.11）。</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92" w:name="_Toc26309"/>
      <w:r>
        <w:rPr>
          <w:rFonts w:ascii="方正黑体_GBK" w:eastAsia="方正黑体_GBK" w:hAnsi="方正黑体_GBK" w:cs="方正黑体_GBK" w:hint="eastAsia"/>
          <w:sz w:val="32"/>
          <w:szCs w:val="32"/>
        </w:rPr>
        <w:t>5 处置机制</w:t>
      </w:r>
      <w:bookmarkEnd w:id="92"/>
    </w:p>
    <w:p w:rsidR="007800EB" w:rsidRDefault="00D67590">
      <w:pPr>
        <w:overflowPunct w:val="0"/>
        <w:spacing w:line="600" w:lineRule="exact"/>
        <w:ind w:firstLineChars="200" w:firstLine="640"/>
        <w:outlineLvl w:val="2"/>
        <w:rPr>
          <w:rFonts w:ascii="楷体" w:eastAsia="楷体" w:hAnsi="楷体" w:cs="楷体"/>
          <w:sz w:val="32"/>
          <w:szCs w:val="32"/>
        </w:rPr>
      </w:pPr>
      <w:bookmarkStart w:id="93" w:name="_Toc25428"/>
      <w:r>
        <w:rPr>
          <w:rFonts w:ascii="楷体" w:eastAsia="楷体" w:hAnsi="楷体" w:cs="楷体" w:hint="eastAsia"/>
          <w:sz w:val="32"/>
          <w:szCs w:val="32"/>
        </w:rPr>
        <w:lastRenderedPageBreak/>
        <w:t>5.1 建立健全应急预案</w:t>
      </w:r>
      <w:bookmarkEnd w:id="93"/>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5.1.1 其他水利生产经营单位应根据单位事故风险实际情况确定应急预案体系，编制相应的应急预案。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事故风险单一、危险性小、从业人员较少的生产经营单位，可以只编制现场处置方案。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5.1.2 其他水利生产经营单位应按照《生产经营单位生产安全事故应急预案编制导则》（GB/T 29639—2020）编制各类应急预案，应急预案应当包括向相关主管部门报告的内容、应急组织机构和人员的联系方式、应急物资储备清单等附件信息。</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5.1.3 </w:t>
      </w:r>
      <w:r>
        <w:rPr>
          <w:rFonts w:ascii="仿宋_GB2312" w:eastAsia="仿宋_GB2312" w:hAnsi="仿宋_GB2312" w:cs="仿宋_GB2312"/>
          <w:sz w:val="32"/>
          <w:szCs w:val="32"/>
        </w:rPr>
        <w:t>应急预案经</w:t>
      </w:r>
      <w:r>
        <w:rPr>
          <w:rFonts w:ascii="仿宋_GB2312" w:eastAsia="仿宋_GB2312" w:hAnsi="仿宋_GB2312" w:cs="仿宋_GB2312" w:hint="eastAsia"/>
          <w:sz w:val="32"/>
          <w:szCs w:val="32"/>
        </w:rPr>
        <w:t>专家</w:t>
      </w:r>
      <w:r>
        <w:rPr>
          <w:rFonts w:ascii="仿宋_GB2312" w:eastAsia="仿宋_GB2312" w:hAnsi="仿宋_GB2312" w:cs="仿宋_GB2312"/>
          <w:sz w:val="32"/>
          <w:szCs w:val="32"/>
        </w:rPr>
        <w:t>评审或者论证后，由</w:t>
      </w:r>
      <w:r>
        <w:rPr>
          <w:rFonts w:ascii="仿宋_GB2312" w:eastAsia="仿宋_GB2312" w:hAnsi="仿宋_GB2312" w:cs="仿宋_GB2312" w:hint="eastAsia"/>
          <w:sz w:val="32"/>
          <w:szCs w:val="32"/>
        </w:rPr>
        <w:t>其他水利生产经营</w:t>
      </w:r>
      <w:r>
        <w:rPr>
          <w:rFonts w:ascii="仿宋_GB2312" w:eastAsia="仿宋_GB2312" w:hAnsi="仿宋_GB2312" w:cs="仿宋_GB2312"/>
          <w:sz w:val="32"/>
          <w:szCs w:val="32"/>
        </w:rPr>
        <w:t>单位主要负责人签署</w:t>
      </w:r>
      <w:r>
        <w:rPr>
          <w:rFonts w:ascii="仿宋_GB2312" w:eastAsia="仿宋_GB2312" w:hAnsi="仿宋_GB2312" w:cs="仿宋_GB2312" w:hint="eastAsia"/>
          <w:sz w:val="32"/>
          <w:szCs w:val="32"/>
        </w:rPr>
        <w:t>印发。</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应急预案应</w:t>
      </w:r>
      <w:r>
        <w:rPr>
          <w:rFonts w:ascii="仿宋_GB2312" w:eastAsia="仿宋_GB2312" w:hAnsi="仿宋_GB2312" w:cs="仿宋_GB2312"/>
          <w:sz w:val="32"/>
          <w:szCs w:val="32"/>
        </w:rPr>
        <w:t>向本单位从业人员公布，并及时发放至本单位各有关部门、岗位和相关应急救援队伍</w:t>
      </w:r>
      <w:r>
        <w:rPr>
          <w:rFonts w:ascii="仿宋_GB2312" w:eastAsia="仿宋_GB2312" w:hAnsi="仿宋_GB2312" w:cs="仿宋_GB2312" w:hint="eastAsia"/>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5.1.4 其他水利生产经营单位应</w:t>
      </w:r>
      <w:r>
        <w:rPr>
          <w:rFonts w:ascii="仿宋_GB2312" w:eastAsia="仿宋_GB2312" w:hAnsi="仿宋_GB2312" w:cs="仿宋_GB2312"/>
          <w:sz w:val="32"/>
          <w:szCs w:val="32"/>
        </w:rPr>
        <w:t>通过水利安全生产监管信息系统向县级以上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水行政主管部门办理</w:t>
      </w:r>
      <w:r>
        <w:rPr>
          <w:rFonts w:ascii="仿宋_GB2312" w:eastAsia="仿宋_GB2312" w:hAnsi="仿宋_GB2312" w:cs="仿宋_GB2312" w:hint="eastAsia"/>
          <w:sz w:val="32"/>
          <w:szCs w:val="32"/>
        </w:rPr>
        <w:t>应急</w:t>
      </w:r>
      <w:r>
        <w:rPr>
          <w:rFonts w:ascii="仿宋_GB2312" w:eastAsia="仿宋_GB2312" w:hAnsi="仿宋_GB2312" w:cs="仿宋_GB2312"/>
          <w:sz w:val="32"/>
          <w:szCs w:val="32"/>
        </w:rPr>
        <w:t>预案备案手续。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 其他水利生产经营单位应定期对应急预案内容的针对性和实用性进行评估，及时修订应急预案。</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5.1.5.1 易燃易爆物品、危险化学品等危险物品的储存、运输单位，以及中型规模以上其他生产经营单位应当按照《生产安全事故应急预案管理办法》及《生产经营单位生产安全事故应急预案评估指南》（AQ/T 9011—2019)规定，</w:t>
      </w:r>
      <w:r>
        <w:rPr>
          <w:rFonts w:ascii="仿宋_GB2312" w:eastAsia="仿宋_GB2312" w:hAnsi="仿宋_GB2312" w:cs="仿宋_GB2312" w:hint="eastAsia"/>
          <w:sz w:val="32"/>
          <w:szCs w:val="32"/>
        </w:rPr>
        <w:lastRenderedPageBreak/>
        <w:t>至少每三年进行一次应急预案评估。</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5.1.5.2 当应急组织指挥体系与职责、应急处置程序、主要处置措施、应急响应分级等内容变更的，其他水利生产经营单位应参照应急预案编制程序及时修订，并按照有关应急预案报备程序重新备案。</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4" w:name="_Toc11764"/>
      <w:r>
        <w:rPr>
          <w:rFonts w:ascii="楷体" w:eastAsia="楷体" w:hAnsi="楷体" w:cs="楷体" w:hint="eastAsia"/>
          <w:sz w:val="32"/>
          <w:szCs w:val="32"/>
        </w:rPr>
        <w:t>5.2 明确应急队伍及物资</w:t>
      </w:r>
      <w:bookmarkEnd w:id="94"/>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5.2.1 其他水利生产经营单位所属宾馆、学校、医院、水利风景区等人员密集场所，应建立应急救援队伍。除此之外其他水利生产经营单位，可以不建立应急救援队伍，但应当指定兼职的应急救援人员，也可以与邻近的应急救援队伍签订应急救援协议。</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5.2.2 其他水利生产经营单位应根据有关规定并结合实际确定和配备必要的应急救援器材、设备和物资，建立应急装备和</w:t>
      </w:r>
      <w:proofErr w:type="gramStart"/>
      <w:r>
        <w:rPr>
          <w:rFonts w:ascii="仿宋_GB2312" w:eastAsia="仿宋_GB2312" w:hAnsi="仿宋_GB2312" w:cs="仿宋_GB2312" w:hint="eastAsia"/>
          <w:sz w:val="32"/>
          <w:szCs w:val="32"/>
        </w:rPr>
        <w:t>物资台</w:t>
      </w:r>
      <w:proofErr w:type="gramEnd"/>
      <w:r>
        <w:rPr>
          <w:rFonts w:ascii="仿宋_GB2312" w:eastAsia="仿宋_GB2312" w:hAnsi="仿宋_GB2312" w:cs="仿宋_GB2312" w:hint="eastAsia"/>
          <w:sz w:val="32"/>
          <w:szCs w:val="32"/>
        </w:rPr>
        <w:t>账（见附件A.12），明确专人管理，定期检查、维护、更新应急装备物资，保证正常使用。</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5" w:name="_Toc14363"/>
      <w:r>
        <w:rPr>
          <w:rFonts w:ascii="楷体" w:eastAsia="楷体" w:hAnsi="楷体" w:cs="楷体" w:hint="eastAsia"/>
          <w:sz w:val="32"/>
          <w:szCs w:val="32"/>
        </w:rPr>
        <w:t>5.3 开展应急演练</w:t>
      </w:r>
      <w:bookmarkEnd w:id="95"/>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5.3.1 其他水利</w:t>
      </w:r>
      <w:r>
        <w:rPr>
          <w:rFonts w:ascii="仿宋_GB2312" w:eastAsia="仿宋_GB2312" w:hAnsi="仿宋_GB2312" w:cs="仿宋_GB2312"/>
          <w:sz w:val="32"/>
          <w:szCs w:val="32"/>
        </w:rPr>
        <w:t>生产经营单位应每年至少组织一次综合应急预案演练或专项应急预案演练，每半年至少组织一次现场处置方案演练</w:t>
      </w:r>
      <w:r>
        <w:rPr>
          <w:rFonts w:ascii="仿宋_GB2312" w:eastAsia="仿宋_GB2312" w:hAnsi="仿宋_GB2312" w:cs="仿宋_GB2312" w:hint="eastAsia"/>
          <w:sz w:val="32"/>
          <w:szCs w:val="32"/>
        </w:rPr>
        <w:t>，并将演练情况通过水利安全生产监管信息系统报送所在地水行政主管部门。</w:t>
      </w:r>
    </w:p>
    <w:p w:rsidR="007800EB" w:rsidRDefault="00D67590">
      <w:pPr>
        <w:pStyle w:val="a0"/>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5.3.2 其他水利生产经营单位开展应急演练前应编制演练方案（见附件A.17），准备应急演练所需的物资。应急演练方案应包括演练目的及要求、事故情景、参与人员及范</w:t>
      </w:r>
      <w:r>
        <w:rPr>
          <w:rFonts w:ascii="仿宋_GB2312" w:eastAsia="仿宋_GB2312" w:hAnsi="仿宋_GB2312" w:cs="仿宋_GB2312" w:hint="eastAsia"/>
          <w:sz w:val="32"/>
          <w:szCs w:val="32"/>
        </w:rPr>
        <w:lastRenderedPageBreak/>
        <w:t>围、时间与地点、主要任务及职责、筹备工作内容、主要工作步骤、技术支撑及保障条件、评估与总结等主要内容。</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5.3.3 其他水利生产经营单位主要负责人应按照演练方案组织开展应急演练，做好演练过程记录，整理留存参与人员签到表、演练照片或视频记录等材料。</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5.3.4 应急演练结束后，其他水利生产经营单位应对演练情况进行评估，分析存在的问题，编制应急演练评估报告，及时修订完善应急预案。演练评估报告应包括演练基本情况、演练评估过程、演练情况分析、改进的意见和建议等主要内容。</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6" w:name="_Toc6853"/>
      <w:r>
        <w:rPr>
          <w:rFonts w:ascii="楷体" w:eastAsia="楷体" w:hAnsi="楷体" w:cs="楷体" w:hint="eastAsia"/>
          <w:sz w:val="32"/>
          <w:szCs w:val="32"/>
        </w:rPr>
        <w:t>5.4 快速有效开展应急处置</w:t>
      </w:r>
      <w:bookmarkEnd w:id="96"/>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 险情发生后，其他水利生产经营单位应根据相应预案迅速</w:t>
      </w:r>
      <w:r>
        <w:rPr>
          <w:rFonts w:ascii="仿宋_GB2312" w:eastAsia="仿宋_GB2312" w:hAnsi="仿宋_GB2312" w:cs="仿宋_GB2312"/>
          <w:sz w:val="32"/>
          <w:szCs w:val="32"/>
        </w:rPr>
        <w:t>启动生产安全事故应急</w:t>
      </w:r>
      <w:r>
        <w:rPr>
          <w:rFonts w:ascii="仿宋_GB2312" w:eastAsia="仿宋_GB2312" w:hAnsi="仿宋_GB2312" w:cs="仿宋_GB2312" w:hint="eastAsia"/>
          <w:sz w:val="32"/>
          <w:szCs w:val="32"/>
        </w:rPr>
        <w:t>响应</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5.4.2 </w:t>
      </w:r>
      <w:r>
        <w:rPr>
          <w:rFonts w:ascii="仿宋_GB2312" w:eastAsia="仿宋_GB2312" w:hAnsi="仿宋_GB2312" w:cs="仿宋_GB2312"/>
          <w:sz w:val="32"/>
          <w:szCs w:val="32"/>
        </w:rPr>
        <w:t>先期处置</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优先组织抢救遇险人员</w:t>
      </w:r>
      <w:r>
        <w:rPr>
          <w:rFonts w:ascii="仿宋_GB2312" w:eastAsia="仿宋_GB2312" w:hAnsi="仿宋_GB2312" w:cs="仿宋_GB2312" w:hint="eastAsia"/>
          <w:sz w:val="32"/>
          <w:szCs w:val="32"/>
        </w:rPr>
        <w:t>，采取必要措施，</w:t>
      </w:r>
      <w:r>
        <w:rPr>
          <w:rFonts w:ascii="仿宋_GB2312" w:eastAsia="仿宋_GB2312" w:hAnsi="仿宋_GB2312" w:cs="仿宋_GB2312"/>
          <w:sz w:val="32"/>
          <w:szCs w:val="32"/>
        </w:rPr>
        <w:t>防止事故危害扩大和次生、衍生灾害发生。</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5.4.3 </w:t>
      </w:r>
      <w:r>
        <w:rPr>
          <w:rFonts w:ascii="仿宋_GB2312" w:eastAsia="仿宋_GB2312" w:hAnsi="仿宋_GB2312" w:cs="仿宋_GB2312"/>
          <w:sz w:val="32"/>
          <w:szCs w:val="32"/>
        </w:rPr>
        <w:t>事故发生后，现场有关人员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立即报告本单位负责人</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单位负责人接到事故报告后，</w:t>
      </w:r>
      <w:r>
        <w:rPr>
          <w:rFonts w:ascii="仿宋_GB2312" w:eastAsia="仿宋_GB2312" w:hAnsi="仿宋_GB2312" w:cs="仿宋_GB2312" w:hint="eastAsia"/>
          <w:sz w:val="32"/>
          <w:szCs w:val="32"/>
        </w:rPr>
        <w:t>应立即</w:t>
      </w:r>
      <w:r>
        <w:rPr>
          <w:rFonts w:ascii="仿宋_GB2312" w:eastAsia="仿宋_GB2312" w:hAnsi="仿宋_GB2312" w:cs="仿宋_GB2312"/>
          <w:sz w:val="32"/>
          <w:szCs w:val="32"/>
        </w:rPr>
        <w:t>向当地县级以上</w:t>
      </w:r>
      <w:r>
        <w:rPr>
          <w:rFonts w:ascii="仿宋_GB2312" w:eastAsia="仿宋_GB2312" w:hAnsi="仿宋_GB2312" w:cs="仿宋_GB2312" w:hint="eastAsia"/>
          <w:sz w:val="32"/>
          <w:szCs w:val="32"/>
        </w:rPr>
        <w:t>地方</w:t>
      </w:r>
      <w:r>
        <w:rPr>
          <w:rFonts w:ascii="仿宋_GB2312" w:eastAsia="仿宋_GB2312" w:hAnsi="仿宋_GB2312" w:cs="仿宋_GB2312"/>
          <w:sz w:val="32"/>
          <w:szCs w:val="32"/>
        </w:rPr>
        <w:t>水行政主管部门和有关部门报告。</w:t>
      </w:r>
      <w:r>
        <w:rPr>
          <w:rFonts w:ascii="仿宋_GB2312" w:eastAsia="仿宋_GB2312" w:hAnsi="仿宋_GB2312" w:cs="仿宋_GB2312" w:hint="eastAsia"/>
          <w:sz w:val="32"/>
          <w:szCs w:val="32"/>
        </w:rPr>
        <w:t>情况紧急时，现场人员可以越级上报。</w:t>
      </w:r>
    </w:p>
    <w:p w:rsidR="007800EB" w:rsidRDefault="00D67590">
      <w:pPr>
        <w:overflowPunct w:val="0"/>
        <w:spacing w:line="600" w:lineRule="exact"/>
        <w:ind w:firstLine="641"/>
        <w:outlineLvl w:val="1"/>
        <w:rPr>
          <w:rFonts w:ascii="方正黑体_GBK" w:eastAsia="方正黑体_GBK" w:hAnsi="方正黑体_GBK" w:cs="方正黑体_GBK"/>
          <w:sz w:val="32"/>
          <w:szCs w:val="32"/>
        </w:rPr>
      </w:pPr>
      <w:bookmarkStart w:id="97" w:name="_Toc29149"/>
      <w:r>
        <w:rPr>
          <w:rFonts w:ascii="方正黑体_GBK" w:eastAsia="方正黑体_GBK" w:hAnsi="方正黑体_GBK" w:cs="方正黑体_GBK" w:hint="eastAsia"/>
          <w:sz w:val="32"/>
          <w:szCs w:val="32"/>
        </w:rPr>
        <w:t>6 责任机制</w:t>
      </w:r>
      <w:bookmarkEnd w:id="97"/>
    </w:p>
    <w:p w:rsidR="007800EB" w:rsidRDefault="00D67590">
      <w:pPr>
        <w:overflowPunct w:val="0"/>
        <w:spacing w:line="600" w:lineRule="exact"/>
        <w:ind w:firstLineChars="200" w:firstLine="640"/>
        <w:outlineLvl w:val="2"/>
        <w:rPr>
          <w:rFonts w:ascii="楷体" w:eastAsia="楷体" w:hAnsi="楷体" w:cs="楷体"/>
          <w:sz w:val="32"/>
          <w:szCs w:val="32"/>
        </w:rPr>
      </w:pPr>
      <w:bookmarkStart w:id="98" w:name="_Toc10241"/>
      <w:r>
        <w:rPr>
          <w:rFonts w:ascii="楷体" w:eastAsia="楷体" w:hAnsi="楷体" w:cs="楷体" w:hint="eastAsia"/>
          <w:sz w:val="32"/>
          <w:szCs w:val="32"/>
        </w:rPr>
        <w:t>6.1 建立全员安全生产责任制</w:t>
      </w:r>
      <w:bookmarkEnd w:id="98"/>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6.1.1 其他水利生产经营单位应建立</w:t>
      </w:r>
      <w:r>
        <w:rPr>
          <w:rFonts w:ascii="仿宋_GB2312" w:eastAsia="仿宋_GB2312" w:hAnsi="仿宋_GB2312" w:cs="仿宋_GB2312"/>
          <w:sz w:val="32"/>
          <w:szCs w:val="32"/>
        </w:rPr>
        <w:t>全员安全生产责任制，明确单位</w:t>
      </w:r>
      <w:r>
        <w:rPr>
          <w:rFonts w:ascii="仿宋_GB2312" w:eastAsia="仿宋_GB2312" w:hAnsi="仿宋_GB2312" w:cs="仿宋_GB2312" w:hint="eastAsia"/>
          <w:sz w:val="32"/>
          <w:szCs w:val="32"/>
        </w:rPr>
        <w:t>党政领导干部、各个部门、各层级</w:t>
      </w:r>
      <w:r>
        <w:rPr>
          <w:rFonts w:ascii="仿宋_GB2312" w:eastAsia="仿宋_GB2312" w:hAnsi="仿宋_GB2312" w:cs="仿宋_GB2312"/>
          <w:sz w:val="32"/>
          <w:szCs w:val="32"/>
        </w:rPr>
        <w:t>下属单位</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各</w:t>
      </w:r>
      <w:r>
        <w:rPr>
          <w:rFonts w:ascii="仿宋_GB2312" w:eastAsia="仿宋_GB2312" w:hAnsi="仿宋_GB2312" w:cs="仿宋_GB2312"/>
          <w:sz w:val="32"/>
          <w:szCs w:val="32"/>
        </w:rPr>
        <w:t>岗位</w:t>
      </w:r>
      <w:r>
        <w:rPr>
          <w:rFonts w:ascii="仿宋_GB2312" w:eastAsia="仿宋_GB2312" w:hAnsi="仿宋_GB2312" w:cs="仿宋_GB2312" w:hint="eastAsia"/>
          <w:sz w:val="32"/>
          <w:szCs w:val="32"/>
        </w:rPr>
        <w:t>工作人员安全生产</w:t>
      </w:r>
      <w:r>
        <w:rPr>
          <w:rFonts w:ascii="仿宋_GB2312" w:eastAsia="仿宋_GB2312" w:hAnsi="仿宋_GB2312" w:cs="仿宋_GB2312"/>
          <w:sz w:val="32"/>
          <w:szCs w:val="32"/>
        </w:rPr>
        <w:t>责任范围、履责要求。</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全员安全生产责任制应以单位正式文件印发</w:t>
      </w:r>
      <w:r>
        <w:rPr>
          <w:rFonts w:ascii="仿宋_GB2312" w:eastAsia="仿宋_GB2312" w:hAnsi="仿宋_GB2312" w:cs="仿宋_GB2312" w:hint="eastAsia"/>
          <w:sz w:val="32"/>
          <w:szCs w:val="32"/>
        </w:rPr>
        <w:t>至</w:t>
      </w:r>
      <w:r>
        <w:rPr>
          <w:rFonts w:ascii="仿宋_GB2312" w:eastAsia="仿宋_GB2312" w:hAnsi="仿宋_GB2312" w:cs="仿宋_GB2312"/>
          <w:sz w:val="32"/>
          <w:szCs w:val="32"/>
        </w:rPr>
        <w:t>所有部门、</w:t>
      </w:r>
      <w:r>
        <w:rPr>
          <w:rFonts w:ascii="仿宋_GB2312" w:eastAsia="仿宋_GB2312" w:hAnsi="仿宋_GB2312" w:cs="仿宋_GB2312" w:hint="eastAsia"/>
          <w:sz w:val="32"/>
          <w:szCs w:val="32"/>
        </w:rPr>
        <w:t>各层级下属单位直至</w:t>
      </w:r>
      <w:r>
        <w:rPr>
          <w:rFonts w:ascii="仿宋_GB2312" w:eastAsia="仿宋_GB2312" w:hAnsi="仿宋_GB2312" w:cs="仿宋_GB2312"/>
          <w:sz w:val="32"/>
          <w:szCs w:val="32"/>
        </w:rPr>
        <w:t>基层单位，传达到</w:t>
      </w:r>
      <w:r>
        <w:rPr>
          <w:rFonts w:ascii="仿宋_GB2312" w:eastAsia="仿宋_GB2312" w:hAnsi="仿宋_GB2312" w:cs="仿宋_GB2312" w:hint="eastAsia"/>
          <w:sz w:val="32"/>
          <w:szCs w:val="32"/>
        </w:rPr>
        <w:t>包括各级党政领导干部在内的</w:t>
      </w:r>
      <w:r>
        <w:rPr>
          <w:rFonts w:ascii="仿宋_GB2312" w:eastAsia="仿宋_GB2312" w:hAnsi="仿宋_GB2312" w:cs="仿宋_GB2312"/>
          <w:sz w:val="32"/>
          <w:szCs w:val="32"/>
        </w:rPr>
        <w:t>每个岗位和</w:t>
      </w:r>
      <w:r>
        <w:rPr>
          <w:rFonts w:ascii="仿宋_GB2312" w:eastAsia="仿宋_GB2312" w:hAnsi="仿宋_GB2312" w:cs="仿宋_GB2312" w:hint="eastAsia"/>
          <w:sz w:val="32"/>
          <w:szCs w:val="32"/>
        </w:rPr>
        <w:t>人员</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6.1.</w:t>
      </w:r>
      <w:r>
        <w:rPr>
          <w:rFonts w:ascii="仿宋_GB2312" w:eastAsia="仿宋_GB2312" w:hAnsi="仿宋_GB2312" w:cs="仿宋_GB2312" w:hint="eastAsia"/>
          <w:sz w:val="32"/>
          <w:szCs w:val="32"/>
        </w:rPr>
        <w:t>2 其他水利生产经营</w:t>
      </w:r>
      <w:r>
        <w:rPr>
          <w:rFonts w:ascii="仿宋_GB2312" w:eastAsia="仿宋_GB2312" w:hAnsi="仿宋_GB2312" w:cs="仿宋_GB2312"/>
          <w:sz w:val="32"/>
          <w:szCs w:val="32"/>
        </w:rPr>
        <w:t>单位主要负责人与分管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，分管</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与所</w:t>
      </w:r>
      <w:r>
        <w:rPr>
          <w:rFonts w:ascii="仿宋_GB2312" w:eastAsia="仿宋_GB2312" w:hAnsi="仿宋_GB2312" w:cs="仿宋_GB2312" w:hint="eastAsia"/>
          <w:sz w:val="32"/>
          <w:szCs w:val="32"/>
        </w:rPr>
        <w:t>分管</w:t>
      </w:r>
      <w:r>
        <w:rPr>
          <w:rFonts w:ascii="仿宋_GB2312" w:eastAsia="仿宋_GB2312" w:hAnsi="仿宋_GB2312" w:cs="仿宋_GB2312"/>
          <w:sz w:val="32"/>
          <w:szCs w:val="32"/>
        </w:rPr>
        <w:t>部门、下属单位</w:t>
      </w:r>
      <w:r>
        <w:rPr>
          <w:rFonts w:ascii="仿宋_GB2312" w:eastAsia="仿宋_GB2312" w:hAnsi="仿宋_GB2312" w:cs="仿宋_GB2312" w:hint="eastAsia"/>
          <w:sz w:val="32"/>
          <w:szCs w:val="32"/>
        </w:rPr>
        <w:t>负责人</w:t>
      </w:r>
      <w:r>
        <w:rPr>
          <w:rFonts w:ascii="仿宋_GB2312" w:eastAsia="仿宋_GB2312" w:hAnsi="仿宋_GB2312" w:cs="仿宋_GB2312"/>
          <w:sz w:val="32"/>
          <w:szCs w:val="32"/>
        </w:rPr>
        <w:t>，部门、下属单位负责人与各岗位工作人员</w:t>
      </w:r>
      <w:r>
        <w:rPr>
          <w:rFonts w:ascii="仿宋_GB2312" w:eastAsia="仿宋_GB2312" w:hAnsi="仿宋_GB2312" w:cs="仿宋_GB2312" w:hint="eastAsia"/>
          <w:sz w:val="32"/>
          <w:szCs w:val="32"/>
        </w:rPr>
        <w:t>应</w:t>
      </w:r>
      <w:r>
        <w:rPr>
          <w:rFonts w:ascii="仿宋_GB2312" w:eastAsia="仿宋_GB2312" w:hAnsi="仿宋_GB2312" w:cs="仿宋_GB2312"/>
          <w:sz w:val="32"/>
          <w:szCs w:val="32"/>
        </w:rPr>
        <w:t>逐级</w:t>
      </w:r>
      <w:r>
        <w:rPr>
          <w:rFonts w:ascii="仿宋_GB2312" w:eastAsia="仿宋_GB2312" w:hAnsi="仿宋_GB2312" w:cs="仿宋_GB2312" w:hint="eastAsia"/>
          <w:sz w:val="32"/>
          <w:szCs w:val="32"/>
        </w:rPr>
        <w:t>明确</w:t>
      </w:r>
      <w:r>
        <w:rPr>
          <w:rFonts w:ascii="仿宋_GB2312" w:eastAsia="仿宋_GB2312" w:hAnsi="仿宋_GB2312" w:cs="仿宋_GB2312"/>
          <w:sz w:val="32"/>
          <w:szCs w:val="32"/>
        </w:rPr>
        <w:t>安全生产责任</w:t>
      </w:r>
      <w:r>
        <w:rPr>
          <w:rFonts w:ascii="仿宋_GB2312" w:eastAsia="仿宋_GB2312" w:hAnsi="仿宋_GB2312" w:cs="仿宋_GB2312" w:hint="eastAsia"/>
          <w:sz w:val="32"/>
          <w:szCs w:val="32"/>
        </w:rPr>
        <w:t>和</w:t>
      </w:r>
      <w:proofErr w:type="gramStart"/>
      <w:r>
        <w:rPr>
          <w:rFonts w:ascii="仿宋_GB2312" w:eastAsia="仿宋_GB2312" w:hAnsi="仿宋_GB2312" w:cs="仿宋_GB2312" w:hint="eastAsia"/>
          <w:sz w:val="32"/>
          <w:szCs w:val="32"/>
        </w:rPr>
        <w:t>履责</w:t>
      </w:r>
      <w:proofErr w:type="gramEnd"/>
      <w:r>
        <w:rPr>
          <w:rFonts w:ascii="仿宋_GB2312" w:eastAsia="仿宋_GB2312" w:hAnsi="仿宋_GB2312" w:cs="仿宋_GB2312" w:hint="eastAsia"/>
          <w:sz w:val="32"/>
          <w:szCs w:val="32"/>
        </w:rPr>
        <w:t>要求</w:t>
      </w:r>
      <w:r>
        <w:rPr>
          <w:rFonts w:ascii="仿宋_GB2312" w:eastAsia="仿宋_GB2312" w:hAnsi="仿宋_GB2312" w:cs="仿宋_GB2312"/>
          <w:sz w:val="32"/>
          <w:szCs w:val="32"/>
        </w:rPr>
        <w:t>。</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99" w:name="_Toc26942"/>
      <w:r>
        <w:rPr>
          <w:rFonts w:ascii="楷体" w:eastAsia="楷体" w:hAnsi="楷体" w:cs="楷体" w:hint="eastAsia"/>
          <w:sz w:val="32"/>
          <w:szCs w:val="32"/>
        </w:rPr>
        <w:t>6.2 开展教育培训</w:t>
      </w:r>
      <w:bookmarkEnd w:id="99"/>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6.2.1 其他水利生产经营单位主要负责人应组织制定包括“六项机制”在内的年度安全生产教育培训计划。</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 应当接受安全教育培训的从业人员包括其他水利生产经营单位主要负责人、安全生产管理人员、特种作业（特种设备作业）人员和其他从业人员，以及劳务派遣、灵活用工、对外委托协作单位人员等。从业人员应</w:t>
      </w:r>
      <w:r>
        <w:rPr>
          <w:rFonts w:ascii="仿宋_GB2312" w:eastAsia="仿宋_GB2312" w:hAnsi="仿宋_GB2312" w:cs="仿宋_GB2312"/>
          <w:sz w:val="32"/>
          <w:szCs w:val="32"/>
        </w:rPr>
        <w:t>做到“三知两会”，即知道本岗位危险源所在、管控措施、应急措施，会使用配备的应急器材、宣讲岗位风险防范措施</w:t>
      </w:r>
      <w:r>
        <w:rPr>
          <w:rFonts w:ascii="仿宋_GB2312" w:eastAsia="仿宋_GB2312" w:hAnsi="仿宋_GB2312" w:cs="仿宋_GB2312" w:hint="eastAsia"/>
          <w:sz w:val="32"/>
          <w:szCs w:val="32"/>
        </w:rPr>
        <w:t>。</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6.2.2.1 其他水利生产经营单位主要负责人和安全生产管理人员初次安全培训时间不少于32学时（含“六项机制”内容12学时以上），每年再培训时间不少于12学时。</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6.2.2.2 其他水利生产经营单位应当对新上岗的临时工、合同工、劳务工、轮换工、</w:t>
      </w:r>
      <w:proofErr w:type="gramStart"/>
      <w:r>
        <w:rPr>
          <w:rFonts w:ascii="仿宋_GB2312" w:eastAsia="仿宋_GB2312" w:hAnsi="仿宋_GB2312" w:cs="仿宋_GB2312" w:hint="eastAsia"/>
          <w:sz w:val="32"/>
          <w:szCs w:val="32"/>
        </w:rPr>
        <w:t>协议工</w:t>
      </w:r>
      <w:proofErr w:type="gramEnd"/>
      <w:r>
        <w:rPr>
          <w:rFonts w:ascii="仿宋_GB2312" w:eastAsia="仿宋_GB2312" w:hAnsi="仿宋_GB2312" w:cs="仿宋_GB2312" w:hint="eastAsia"/>
          <w:sz w:val="32"/>
          <w:szCs w:val="32"/>
        </w:rPr>
        <w:t>等从业人员进行安全培训，岗前安全培训时间不少于24学时（含“六项机制”</w:t>
      </w:r>
      <w:r>
        <w:rPr>
          <w:rFonts w:ascii="仿宋_GB2312" w:eastAsia="仿宋_GB2312" w:hAnsi="仿宋_GB2312" w:cs="仿宋_GB2312" w:hint="eastAsia"/>
          <w:sz w:val="32"/>
          <w:szCs w:val="32"/>
        </w:rPr>
        <w:lastRenderedPageBreak/>
        <w:t>内容8学时以上）；对劳务派遣、灵活用工、对外委托协作单位人员等其他从业人员开展安全生产培训，保证其具备本岗位风险管控、应急处置等知识和技能。</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6.2.2.3 其他水利生产经营单位从业人员在本单位内调整工作岗位或离岗一年以上重新上岗时，应当重新接受安全培训，培训时间不少于8学时。</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6.2.2.4 其他水利生产经营单位采用新工艺、新技术或者使用新设备、新材料时，应对有关从业人员进行有针对性的安全培训。</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6.2.2.5 特种作业人员和特种设备作业人员必须按照国家有关法律、法规的规定接受专门的安全培训，经考核合格，取得相应操作资格证书后，方可上岗作业。</w:t>
      </w:r>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6.2.3 其他水利生产经营单位应建立安全生产教育培训档案，如实记录培训时间、内容、参加人员以及培训考核结果等情况（见附件A.13）。</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100" w:name="_Toc30907"/>
      <w:r>
        <w:rPr>
          <w:rFonts w:ascii="楷体" w:eastAsia="楷体" w:hAnsi="楷体" w:cs="楷体" w:hint="eastAsia"/>
          <w:sz w:val="32"/>
          <w:szCs w:val="32"/>
        </w:rPr>
        <w:t>6.3 开展责任制考核</w:t>
      </w:r>
      <w:bookmarkEnd w:id="100"/>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6.3.1 其他水利生产经营单位应制定安全生产岗位责任考核办法，岗位责任考核指标和标准应尽可能细化、量化、便于操作，并明确考核周期和考核结果应用等内容。</w:t>
      </w:r>
    </w:p>
    <w:p w:rsidR="007800EB" w:rsidRDefault="00D67590">
      <w:pPr>
        <w:overflowPunct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6.3.2 其他水利生产经营单位应根据安全生产岗位责任考核办法定期开展考核，检查岗位责任落实和有关指标完成情况，兑现奖惩措施。</w:t>
      </w:r>
    </w:p>
    <w:p w:rsidR="007800EB" w:rsidRDefault="00D67590">
      <w:pPr>
        <w:overflowPunct w:val="0"/>
        <w:spacing w:line="600" w:lineRule="exact"/>
        <w:ind w:firstLineChars="200" w:firstLine="640"/>
        <w:outlineLvl w:val="2"/>
        <w:rPr>
          <w:rFonts w:ascii="楷体" w:eastAsia="楷体" w:hAnsi="楷体" w:cs="楷体"/>
          <w:sz w:val="32"/>
          <w:szCs w:val="32"/>
        </w:rPr>
      </w:pPr>
      <w:bookmarkStart w:id="101" w:name="_Toc5660"/>
      <w:r>
        <w:rPr>
          <w:rFonts w:ascii="楷体" w:eastAsia="楷体" w:hAnsi="楷体" w:cs="楷体" w:hint="eastAsia"/>
          <w:sz w:val="32"/>
          <w:szCs w:val="32"/>
        </w:rPr>
        <w:t>6.4 严格奖惩问责</w:t>
      </w:r>
      <w:bookmarkEnd w:id="101"/>
    </w:p>
    <w:p w:rsidR="007800EB" w:rsidRDefault="00D67590">
      <w:pPr>
        <w:overflowPunct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6.4.1其他水利生产经营单位应建立安全生产奖惩制度，对应给予奖励和惩处的具体情形进行规定，明确相应的奖惩措施。</w:t>
      </w:r>
    </w:p>
    <w:p w:rsidR="007800EB" w:rsidRDefault="00D67590">
      <w:pPr>
        <w:pStyle w:val="a0"/>
        <w:spacing w:line="600" w:lineRule="exact"/>
        <w:ind w:firstLine="640"/>
        <w:rPr>
          <w:rFonts w:ascii="仿宋_GB2312" w:eastAsia="仿宋_GB2312" w:hAnsi="仿宋_GB2312" w:cs="仿宋_GB231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sz w:val="32"/>
          <w:szCs w:val="32"/>
        </w:rPr>
        <w:t>6.4.2 根据《中华人民共和国安全生产法》《中华人民共和国刑法》《生产安全事故报告和调查处理条例》等对事故责任追究的规定，其他水利生产经营单位应积极配合有关部门做好生产安全事故的调查和处理，并按照“四不放过”原则实施事故责任追究。</w:t>
      </w:r>
    </w:p>
    <w:p w:rsidR="007800EB" w:rsidRDefault="00D67590">
      <w:pPr>
        <w:pStyle w:val="a0"/>
        <w:ind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0" distR="0" wp14:anchorId="55897B7F" wp14:editId="165395C6">
            <wp:extent cx="7283450" cy="4857750"/>
            <wp:effectExtent l="0" t="0" r="0" b="0"/>
            <wp:docPr id="15" name="图片 100" descr="13.查找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 descr="13.查找机制（其他单位）"/>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28345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图15 </w:t>
      </w:r>
      <w:r>
        <w:rPr>
          <w:rFonts w:ascii="仿宋_GB2312" w:eastAsia="仿宋_GB2312" w:hAnsi="仿宋_GB2312" w:cs="仿宋_GB2312" w:hint="eastAsia"/>
          <w:b/>
          <w:bCs/>
          <w:sz w:val="32"/>
          <w:szCs w:val="32"/>
        </w:rPr>
        <w:t>其他水利生产经营单位</w:t>
      </w:r>
      <w:r>
        <w:rPr>
          <w:rFonts w:ascii="仿宋_GB2312" w:eastAsia="仿宋_GB2312" w:hAnsi="仿宋_GB2312" w:cs="仿宋_GB2312" w:hint="eastAsia"/>
          <w:b/>
          <w:bCs/>
          <w:kern w:val="2"/>
          <w:sz w:val="32"/>
          <w:szCs w:val="32"/>
        </w:rPr>
        <w:t>查找机制工作内容框架图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1FA59038" wp14:editId="2D9A6C2B">
            <wp:extent cx="9036050" cy="2336800"/>
            <wp:effectExtent l="0" t="0" r="0" b="0"/>
            <wp:docPr id="16" name="图片 74" descr="14.研判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4" descr="14.研判机制（其他单位）"/>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036050" cy="2336800"/>
                    </a:xfrm>
                    <a:prstGeom prst="rect">
                      <a:avLst/>
                    </a:prstGeom>
                    <a:noFill/>
                    <a:ln>
                      <a:noFill/>
                    </a:ln>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图16 </w:t>
      </w:r>
      <w:r>
        <w:rPr>
          <w:rFonts w:ascii="仿宋_GB2312" w:eastAsia="仿宋_GB2312" w:hAnsi="仿宋_GB2312" w:cs="仿宋_GB2312" w:hint="eastAsia"/>
          <w:b/>
          <w:bCs/>
          <w:sz w:val="32"/>
          <w:szCs w:val="32"/>
        </w:rPr>
        <w:t>其他水利生产经营单位</w:t>
      </w:r>
      <w:proofErr w:type="gramStart"/>
      <w:r>
        <w:rPr>
          <w:rFonts w:ascii="仿宋_GB2312" w:eastAsia="仿宋_GB2312" w:hAnsi="仿宋_GB2312" w:cs="仿宋_GB2312" w:hint="eastAsia"/>
          <w:b/>
          <w:bCs/>
          <w:kern w:val="2"/>
          <w:sz w:val="32"/>
          <w:szCs w:val="32"/>
        </w:rPr>
        <w:t>研判机制</w:t>
      </w:r>
      <w:proofErr w:type="gramEnd"/>
      <w:r>
        <w:rPr>
          <w:rFonts w:ascii="仿宋_GB2312" w:eastAsia="仿宋_GB2312" w:hAnsi="仿宋_GB2312" w:cs="仿宋_GB2312" w:hint="eastAsia"/>
          <w:b/>
          <w:bCs/>
          <w:kern w:val="2"/>
          <w:sz w:val="32"/>
          <w:szCs w:val="32"/>
        </w:rPr>
        <w:t>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18346D76" wp14:editId="2E58186B">
            <wp:extent cx="8350250" cy="4318000"/>
            <wp:effectExtent l="0" t="0" r="0" b="0"/>
            <wp:docPr id="17" name="图片 36" descr="15.预警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15.预警机制（其他单位）"/>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350250" cy="4318000"/>
                    </a:xfrm>
                    <a:prstGeom prst="rect">
                      <a:avLst/>
                    </a:prstGeom>
                    <a:noFill/>
                    <a:ln>
                      <a:noFill/>
                    </a:ln>
                    <a:effectLst/>
                  </pic:spPr>
                </pic:pic>
              </a:graphicData>
            </a:graphic>
          </wp:inline>
        </w:drawing>
      </w:r>
    </w:p>
    <w:p w:rsidR="007800EB" w:rsidRDefault="007800EB" w:rsidP="001B5D63">
      <w:pPr>
        <w:pStyle w:val="a0"/>
        <w:ind w:firstLine="643"/>
        <w:jc w:val="center"/>
        <w:rPr>
          <w:rFonts w:ascii="仿宋_GB2312" w:eastAsia="仿宋_GB2312" w:hAnsi="仿宋_GB2312" w:cs="仿宋_GB2312"/>
          <w:b/>
          <w:bCs/>
          <w:kern w:val="2"/>
          <w:sz w:val="32"/>
          <w:szCs w:val="32"/>
        </w:rPr>
      </w:pPr>
    </w:p>
    <w:p w:rsidR="007800EB" w:rsidRDefault="00D67590" w:rsidP="001B5D63">
      <w:pPr>
        <w:pStyle w:val="a0"/>
        <w:ind w:firstLine="643"/>
        <w:jc w:val="center"/>
        <w:rPr>
          <w:rFonts w:ascii="仿宋_GB2312" w:eastAsia="仿宋_GB2312" w:hAnsi="仿宋_GB2312" w:cs="仿宋_GB2312"/>
          <w:b/>
          <w:bCs/>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图17 </w:t>
      </w:r>
      <w:r>
        <w:rPr>
          <w:rFonts w:ascii="仿宋_GB2312" w:eastAsia="仿宋_GB2312" w:hAnsi="仿宋_GB2312" w:cs="仿宋_GB2312" w:hint="eastAsia"/>
          <w:b/>
          <w:bCs/>
          <w:sz w:val="32"/>
          <w:szCs w:val="32"/>
        </w:rPr>
        <w:t>其他水利生产经营单位</w:t>
      </w:r>
      <w:r>
        <w:rPr>
          <w:rFonts w:ascii="仿宋_GB2312" w:eastAsia="仿宋_GB2312" w:hAnsi="仿宋_GB2312" w:cs="仿宋_GB2312" w:hint="eastAsia"/>
          <w:b/>
          <w:bCs/>
          <w:kern w:val="2"/>
          <w:sz w:val="32"/>
          <w:szCs w:val="32"/>
        </w:rPr>
        <w:t>预警机制工作内容框架图</w:t>
      </w:r>
    </w:p>
    <w:p w:rsidR="007800EB" w:rsidRDefault="007800EB">
      <w:pPr>
        <w:pStyle w:val="a0"/>
        <w:ind w:firstLineChars="0" w:firstLine="0"/>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rPr>
          <w:rFonts w:ascii="仿宋_GB2312" w:eastAsia="仿宋_GB2312" w:hAnsi="仿宋_GB2312" w:cs="仿宋_GB2312"/>
          <w:kern w:val="2"/>
          <w:sz w:val="32"/>
          <w:szCs w:val="32"/>
          <w:lang w:val="en"/>
        </w:rPr>
      </w:pPr>
      <w:r>
        <w:rPr>
          <w:rFonts w:ascii="仿宋_GB2312" w:eastAsia="仿宋_GB2312" w:hAnsi="仿宋_GB2312" w:cs="仿宋_GB2312" w:hint="eastAsia"/>
          <w:noProof/>
          <w:kern w:val="2"/>
          <w:sz w:val="32"/>
          <w:szCs w:val="32"/>
        </w:rPr>
        <w:drawing>
          <wp:inline distT="0" distB="0" distL="114300" distR="114300" wp14:anchorId="04AD7E77" wp14:editId="0ED95A8C">
            <wp:extent cx="5601335" cy="6480175"/>
            <wp:effectExtent l="0" t="0" r="18415" b="15875"/>
            <wp:docPr id="38" name="图片 38" descr="16.防范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防范机制（其他单位）"/>
                    <pic:cNvPicPr>
                      <a:picLocks noChangeAspect="1"/>
                    </pic:cNvPicPr>
                  </pic:nvPicPr>
                  <pic:blipFill>
                    <a:blip r:embed="rId29"/>
                    <a:stretch>
                      <a:fillRect/>
                    </a:stretch>
                  </pic:blipFill>
                  <pic:spPr>
                    <a:xfrm>
                      <a:off x="0" y="0"/>
                      <a:ext cx="5601335" cy="6480175"/>
                    </a:xfrm>
                    <a:prstGeom prst="rect">
                      <a:avLst/>
                    </a:prstGeom>
                  </pic:spPr>
                </pic:pic>
              </a:graphicData>
            </a:graphic>
          </wp:inline>
        </w:drawing>
      </w: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b/>
          <w:bCs/>
          <w:kern w:val="2"/>
          <w:sz w:val="32"/>
          <w:szCs w:val="32"/>
        </w:rPr>
        <w:t xml:space="preserve">图18 </w:t>
      </w:r>
      <w:r>
        <w:rPr>
          <w:rFonts w:ascii="仿宋_GB2312" w:eastAsia="仿宋_GB2312" w:hAnsi="仿宋_GB2312" w:cs="仿宋_GB2312" w:hint="eastAsia"/>
          <w:b/>
          <w:bCs/>
          <w:sz w:val="32"/>
          <w:szCs w:val="32"/>
        </w:rPr>
        <w:t>其他水利生产经营单位</w:t>
      </w:r>
      <w:r>
        <w:rPr>
          <w:rFonts w:ascii="仿宋_GB2312" w:eastAsia="仿宋_GB2312" w:hAnsi="仿宋_GB2312" w:cs="仿宋_GB2312" w:hint="eastAsia"/>
          <w:b/>
          <w:bCs/>
          <w:kern w:val="2"/>
          <w:sz w:val="32"/>
          <w:szCs w:val="32"/>
        </w:rPr>
        <w:t>防范机制工作内容框架图</w:t>
      </w:r>
    </w:p>
    <w:p w:rsidR="007800EB" w:rsidRDefault="00D67590">
      <w:pPr>
        <w:pStyle w:val="a0"/>
        <w:ind w:firstLineChars="0" w:firstLine="0"/>
        <w:jc w:val="center"/>
        <w:rPr>
          <w:rFonts w:ascii="仿宋_GB2312" w:eastAsia="仿宋_GB2312" w:hAnsi="仿宋_GB2312" w:cs="仿宋_GB2312"/>
          <w:kern w:val="2"/>
          <w:sz w:val="32"/>
          <w:szCs w:val="32"/>
          <w:lang w:val="en"/>
        </w:rPr>
      </w:pPr>
      <w:r>
        <w:rPr>
          <w:rFonts w:ascii="仿宋_GB2312" w:eastAsia="仿宋_GB2312" w:hAnsi="仿宋_GB2312" w:cs="仿宋_GB2312"/>
          <w:noProof/>
          <w:kern w:val="2"/>
          <w:sz w:val="32"/>
          <w:szCs w:val="32"/>
        </w:rPr>
        <w:lastRenderedPageBreak/>
        <w:drawing>
          <wp:inline distT="0" distB="0" distL="0" distR="0" wp14:anchorId="437372FE" wp14:editId="3F0F54B6">
            <wp:extent cx="7391400" cy="4857750"/>
            <wp:effectExtent l="0" t="0" r="0" b="0"/>
            <wp:docPr id="19" name="图片 101" descr="17.处置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17.处置机制（其他单位）"/>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9140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图19 </w:t>
      </w:r>
      <w:r>
        <w:rPr>
          <w:rFonts w:ascii="仿宋_GB2312" w:eastAsia="仿宋_GB2312" w:hAnsi="仿宋_GB2312" w:cs="仿宋_GB2312" w:hint="eastAsia"/>
          <w:b/>
          <w:bCs/>
          <w:sz w:val="32"/>
          <w:szCs w:val="32"/>
        </w:rPr>
        <w:t>其他水利生产经营单位</w:t>
      </w:r>
      <w:r>
        <w:rPr>
          <w:rFonts w:ascii="仿宋_GB2312" w:eastAsia="仿宋_GB2312" w:hAnsi="仿宋_GB2312" w:cs="仿宋_GB2312" w:hint="eastAsia"/>
          <w:b/>
          <w:bCs/>
          <w:kern w:val="2"/>
          <w:sz w:val="32"/>
          <w:szCs w:val="32"/>
        </w:rPr>
        <w:t>处置机制工作内容框架图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4A31AD2C" wp14:editId="6ECD4FC4">
            <wp:extent cx="8470900" cy="4857750"/>
            <wp:effectExtent l="0" t="0" r="0" b="0"/>
            <wp:docPr id="20" name="图片 40" descr="18.责任机制（其他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18.责任机制（其他单位）"/>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470900" cy="4857750"/>
                    </a:xfrm>
                    <a:prstGeom prst="rect">
                      <a:avLst/>
                    </a:prstGeom>
                    <a:noFill/>
                    <a:ln>
                      <a:noFill/>
                    </a:ln>
                    <a:effectLst/>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图20 </w:t>
      </w:r>
      <w:r>
        <w:rPr>
          <w:rFonts w:ascii="仿宋_GB2312" w:eastAsia="仿宋_GB2312" w:hAnsi="仿宋_GB2312" w:cs="仿宋_GB2312" w:hint="eastAsia"/>
          <w:b/>
          <w:bCs/>
          <w:sz w:val="32"/>
          <w:szCs w:val="32"/>
        </w:rPr>
        <w:t>其他水利生产经营单位</w:t>
      </w:r>
      <w:r>
        <w:rPr>
          <w:rFonts w:ascii="仿宋_GB2312" w:eastAsia="仿宋_GB2312" w:hAnsi="仿宋_GB2312" w:cs="仿宋_GB2312" w:hint="eastAsia"/>
          <w:b/>
          <w:bCs/>
          <w:kern w:val="2"/>
          <w:sz w:val="32"/>
          <w:szCs w:val="32"/>
        </w:rPr>
        <w:t>责任机制工作内容框架图</w:t>
      </w:r>
    </w:p>
    <w:p w:rsidR="007800EB" w:rsidRDefault="00D67590">
      <w:pPr>
        <w:spacing w:line="600" w:lineRule="exact"/>
        <w:jc w:val="center"/>
        <w:rPr>
          <w:rFonts w:ascii="黑体" w:eastAsia="黑体" w:hAnsi="黑体" w:cs="黑体"/>
          <w:spacing w:val="-20"/>
          <w:sz w:val="32"/>
          <w:szCs w:val="32"/>
        </w:rPr>
      </w:pPr>
      <w:bookmarkStart w:id="102" w:name="_Toc18975"/>
      <w:bookmarkStart w:id="103" w:name="_Toc20629"/>
      <w:bookmarkEnd w:id="59"/>
      <w:r>
        <w:rPr>
          <w:rFonts w:ascii="黑体" w:eastAsia="黑体" w:hAnsi="黑体" w:cs="黑体" w:hint="eastAsia"/>
          <w:spacing w:val="-20"/>
          <w:sz w:val="32"/>
          <w:szCs w:val="32"/>
        </w:rPr>
        <w:lastRenderedPageBreak/>
        <w:t>第五章 水行政主管部门、流域管理机</w:t>
      </w:r>
      <w:bookmarkStart w:id="104" w:name="_Toc31376"/>
      <w:bookmarkEnd w:id="102"/>
      <w:r>
        <w:rPr>
          <w:rFonts w:ascii="黑体" w:eastAsia="黑体" w:hAnsi="黑体" w:cs="黑体" w:hint="eastAsia"/>
          <w:spacing w:val="-20"/>
          <w:sz w:val="32"/>
          <w:szCs w:val="32"/>
        </w:rPr>
        <w:t>构“六项机制”工作要求</w:t>
      </w:r>
      <w:bookmarkEnd w:id="104"/>
    </w:p>
    <w:p w:rsidR="007800EB" w:rsidRDefault="007800EB">
      <w:pPr>
        <w:spacing w:line="600" w:lineRule="exact"/>
        <w:ind w:firstLine="641"/>
        <w:outlineLvl w:val="1"/>
        <w:rPr>
          <w:rFonts w:ascii="方正黑体_GBK" w:eastAsia="方正黑体_GBK" w:hAnsi="方正黑体_GBK" w:cs="方正黑体_GBK"/>
          <w:sz w:val="32"/>
          <w:szCs w:val="32"/>
        </w:rPr>
      </w:pPr>
      <w:bookmarkStart w:id="105" w:name="_Toc28928"/>
    </w:p>
    <w:p w:rsidR="007800EB" w:rsidRDefault="00D67590">
      <w:pPr>
        <w:spacing w:line="600" w:lineRule="exact"/>
        <w:ind w:firstLine="641"/>
        <w:outlineLvl w:val="1"/>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1 查找机制</w:t>
      </w:r>
      <w:bookmarkEnd w:id="105"/>
    </w:p>
    <w:p w:rsidR="007800EB" w:rsidRDefault="00D67590">
      <w:pPr>
        <w:spacing w:line="600" w:lineRule="exact"/>
        <w:ind w:firstLineChars="200" w:firstLine="640"/>
        <w:outlineLvl w:val="2"/>
        <w:rPr>
          <w:rFonts w:ascii="楷体" w:eastAsia="楷体" w:hAnsi="楷体" w:cs="楷体"/>
          <w:sz w:val="32"/>
          <w:szCs w:val="32"/>
        </w:rPr>
      </w:pPr>
      <w:bookmarkStart w:id="106" w:name="_Toc28373"/>
      <w:r>
        <w:rPr>
          <w:rFonts w:ascii="楷体" w:eastAsia="楷体" w:hAnsi="楷体" w:cs="楷体" w:hint="eastAsia"/>
          <w:sz w:val="32"/>
          <w:szCs w:val="32"/>
        </w:rPr>
        <w:t>1.1 建立重大风险危险</w:t>
      </w:r>
      <w:proofErr w:type="gramStart"/>
      <w:r>
        <w:rPr>
          <w:rFonts w:ascii="楷体" w:eastAsia="楷体" w:hAnsi="楷体" w:cs="楷体" w:hint="eastAsia"/>
          <w:sz w:val="32"/>
          <w:szCs w:val="32"/>
        </w:rPr>
        <w:t>源信息</w:t>
      </w:r>
      <w:proofErr w:type="gramEnd"/>
      <w:r>
        <w:rPr>
          <w:rFonts w:ascii="楷体" w:eastAsia="楷体" w:hAnsi="楷体" w:cs="楷体" w:hint="eastAsia"/>
          <w:sz w:val="32"/>
          <w:szCs w:val="32"/>
        </w:rPr>
        <w:t>审核报告机制</w:t>
      </w:r>
      <w:bookmarkEnd w:id="106"/>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水行政主管部门、流域管理机构应建立健全重大风险危险</w:t>
      </w:r>
      <w:proofErr w:type="gramStart"/>
      <w:r>
        <w:rPr>
          <w:rFonts w:ascii="仿宋_GB2312" w:eastAsia="仿宋_GB2312" w:hAnsi="仿宋_GB2312" w:cs="仿宋_GB2312" w:hint="eastAsia"/>
          <w:sz w:val="32"/>
          <w:szCs w:val="32"/>
        </w:rPr>
        <w:t>源信息</w:t>
      </w:r>
      <w:proofErr w:type="gramEnd"/>
      <w:r>
        <w:rPr>
          <w:rFonts w:ascii="仿宋_GB2312" w:eastAsia="仿宋_GB2312" w:hAnsi="仿宋_GB2312" w:cs="仿宋_GB2312" w:hint="eastAsia"/>
          <w:sz w:val="32"/>
          <w:szCs w:val="32"/>
        </w:rPr>
        <w:t>分级审核机制，重点审核重大风险危险源的级别、风险等级判定是否准确，管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主体是否符合相关规定，核实是否制定管控措施、应急处置措施。经相关业务处室审核，安全生产分管负责人同意，通过水利安全生产监管信息系统办理备案手续（见附件A.6）。</w:t>
      </w:r>
    </w:p>
    <w:p w:rsidR="007800EB" w:rsidRDefault="00D67590">
      <w:pPr>
        <w:spacing w:line="600" w:lineRule="exact"/>
        <w:ind w:firstLineChars="200" w:firstLine="640"/>
        <w:outlineLvl w:val="2"/>
        <w:rPr>
          <w:rFonts w:ascii="楷体" w:eastAsia="楷体" w:hAnsi="楷体" w:cs="楷体"/>
          <w:sz w:val="32"/>
          <w:szCs w:val="32"/>
        </w:rPr>
      </w:pPr>
      <w:bookmarkStart w:id="107" w:name="_Toc10389"/>
      <w:r>
        <w:rPr>
          <w:rFonts w:ascii="楷体" w:eastAsia="楷体" w:hAnsi="楷体" w:cs="楷体" w:hint="eastAsia"/>
          <w:sz w:val="32"/>
          <w:szCs w:val="32"/>
        </w:rPr>
        <w:t>1.2 建立重大风险危险源监管清单</w:t>
      </w:r>
      <w:bookmarkEnd w:id="107"/>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行政主管部门、流域管理机构应汇总管辖范围内水利生产经营单位重大风险危险源，建立监管清单并动态更新，按照“三管三必须”要求明确监管责任单位、责任人和监管措施等（见附件A.14），由单位主要负责人审核确认。</w:t>
      </w:r>
    </w:p>
    <w:p w:rsidR="007800EB" w:rsidRDefault="00D67590">
      <w:pPr>
        <w:spacing w:line="600" w:lineRule="exact"/>
        <w:ind w:firstLineChars="200" w:firstLine="640"/>
        <w:outlineLvl w:val="2"/>
        <w:rPr>
          <w:rFonts w:ascii="楷体" w:eastAsia="楷体" w:hAnsi="楷体" w:cs="楷体"/>
          <w:sz w:val="32"/>
          <w:szCs w:val="32"/>
        </w:rPr>
      </w:pPr>
      <w:bookmarkStart w:id="108" w:name="_Toc7563"/>
      <w:r>
        <w:rPr>
          <w:rFonts w:ascii="楷体" w:eastAsia="楷体" w:hAnsi="楷体" w:cs="楷体" w:hint="eastAsia"/>
          <w:sz w:val="32"/>
          <w:szCs w:val="32"/>
        </w:rPr>
        <w:t>1.3 加强重大风险危险源监管</w:t>
      </w:r>
      <w:bookmarkEnd w:id="108"/>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水行政主管部门、流域管理机构应依据监管清单，采取定期检查、随机抽查、远程监控等方式，对管辖范围内水利生产经营单位重大风险危险源监测和管</w:t>
      </w:r>
      <w:proofErr w:type="gramStart"/>
      <w:r>
        <w:rPr>
          <w:rFonts w:ascii="仿宋_GB2312" w:eastAsia="仿宋_GB2312" w:hAnsi="仿宋_GB2312" w:cs="仿宋_GB2312" w:hint="eastAsia"/>
          <w:sz w:val="32"/>
          <w:szCs w:val="32"/>
        </w:rPr>
        <w:t>控情况</w:t>
      </w:r>
      <w:proofErr w:type="gramEnd"/>
      <w:r>
        <w:rPr>
          <w:rFonts w:ascii="仿宋_GB2312" w:eastAsia="仿宋_GB2312" w:hAnsi="仿宋_GB2312" w:cs="仿宋_GB2312" w:hint="eastAsia"/>
          <w:sz w:val="32"/>
          <w:szCs w:val="32"/>
        </w:rPr>
        <w:t>开展监督检查，重点检查是否存在重大隐患和重大隐患整改情况，建立重大风险危险</w:t>
      </w:r>
      <w:proofErr w:type="gramStart"/>
      <w:r>
        <w:rPr>
          <w:rFonts w:ascii="仿宋_GB2312" w:eastAsia="仿宋_GB2312" w:hAnsi="仿宋_GB2312" w:cs="仿宋_GB2312" w:hint="eastAsia"/>
          <w:sz w:val="32"/>
          <w:szCs w:val="32"/>
        </w:rPr>
        <w:t>源监督</w:t>
      </w:r>
      <w:proofErr w:type="gramEnd"/>
      <w:r>
        <w:rPr>
          <w:rFonts w:ascii="仿宋_GB2312" w:eastAsia="仿宋_GB2312" w:hAnsi="仿宋_GB2312" w:cs="仿宋_GB2312" w:hint="eastAsia"/>
          <w:sz w:val="32"/>
          <w:szCs w:val="32"/>
        </w:rPr>
        <w:t>检查台账（见附件A.15）。</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重大风险危险源未有效实施监测和管控的，应作为重大事故隐患挂牌督办。</w:t>
      </w:r>
    </w:p>
    <w:p w:rsidR="007800EB" w:rsidRDefault="00D67590">
      <w:pPr>
        <w:spacing w:line="600" w:lineRule="exact"/>
        <w:ind w:firstLine="641"/>
        <w:outlineLvl w:val="1"/>
        <w:rPr>
          <w:rFonts w:ascii="方正黑体_GBK" w:eastAsia="方正黑体_GBK" w:hAnsi="方正黑体_GBK" w:cs="方正黑体_GBK"/>
          <w:sz w:val="32"/>
          <w:szCs w:val="32"/>
        </w:rPr>
      </w:pPr>
      <w:bookmarkStart w:id="109" w:name="_Toc25656"/>
      <w:r>
        <w:rPr>
          <w:rFonts w:ascii="方正黑体_GBK" w:eastAsia="方正黑体_GBK" w:hAnsi="方正黑体_GBK" w:cs="方正黑体_GBK" w:hint="eastAsia"/>
          <w:sz w:val="32"/>
          <w:szCs w:val="32"/>
        </w:rPr>
        <w:lastRenderedPageBreak/>
        <w:t xml:space="preserve">2 </w:t>
      </w:r>
      <w:proofErr w:type="gramStart"/>
      <w:r>
        <w:rPr>
          <w:rFonts w:ascii="方正黑体_GBK" w:eastAsia="方正黑体_GBK" w:hAnsi="方正黑体_GBK" w:cs="方正黑体_GBK" w:hint="eastAsia"/>
          <w:sz w:val="32"/>
          <w:szCs w:val="32"/>
        </w:rPr>
        <w:t>研</w:t>
      </w:r>
      <w:proofErr w:type="gramEnd"/>
      <w:r>
        <w:rPr>
          <w:rFonts w:ascii="方正黑体_GBK" w:eastAsia="方正黑体_GBK" w:hAnsi="方正黑体_GBK" w:cs="方正黑体_GBK" w:hint="eastAsia"/>
          <w:sz w:val="32"/>
          <w:szCs w:val="32"/>
        </w:rPr>
        <w:t>判机制</w:t>
      </w:r>
      <w:bookmarkEnd w:id="109"/>
    </w:p>
    <w:p w:rsidR="007800EB" w:rsidRDefault="00D67590">
      <w:pPr>
        <w:spacing w:line="600" w:lineRule="exact"/>
        <w:ind w:firstLineChars="200" w:firstLine="640"/>
        <w:outlineLvl w:val="2"/>
        <w:rPr>
          <w:rFonts w:ascii="楷体" w:eastAsia="楷体" w:hAnsi="楷体" w:cs="楷体"/>
          <w:sz w:val="32"/>
          <w:szCs w:val="32"/>
        </w:rPr>
      </w:pPr>
      <w:bookmarkStart w:id="110" w:name="_Toc15090"/>
      <w:r>
        <w:rPr>
          <w:rFonts w:ascii="楷体" w:eastAsia="楷体" w:hAnsi="楷体" w:cs="楷体" w:hint="eastAsia"/>
          <w:sz w:val="32"/>
          <w:szCs w:val="32"/>
        </w:rPr>
        <w:t>2.1 开展安全生产状况评价</w:t>
      </w:r>
      <w:bookmarkEnd w:id="110"/>
    </w:p>
    <w:p w:rsidR="007800EB" w:rsidRDefault="00D67590">
      <w:pPr>
        <w:spacing w:line="600" w:lineRule="exact"/>
        <w:ind w:firstLineChars="200" w:firstLine="640"/>
        <w:rPr>
          <w:rFonts w:ascii="宋体" w:eastAsia="仿宋_GB2312" w:hAnsi="宋体" w:cs="仿宋_GB2312"/>
          <w:sz w:val="32"/>
          <w:szCs w:val="32"/>
        </w:rPr>
      </w:pPr>
      <w:r>
        <w:rPr>
          <w:rFonts w:ascii="仿宋_GB2312" w:eastAsia="仿宋_GB2312" w:hAnsi="仿宋_GB2312" w:cs="仿宋_GB2312" w:hint="eastAsia"/>
          <w:sz w:val="32"/>
          <w:szCs w:val="32"/>
        </w:rPr>
        <w:t>水行政主管部门、流域管理机构应充分考虑危险源风险、隐患和事故等指标，由综合监管部门组织各专业监管部门</w:t>
      </w:r>
      <w:r>
        <w:rPr>
          <w:rFonts w:ascii="宋体" w:eastAsia="仿宋_GB2312" w:hAnsi="宋体" w:cs="仿宋_GB2312" w:hint="eastAsia"/>
          <w:sz w:val="32"/>
          <w:szCs w:val="32"/>
        </w:rPr>
        <w:t>，定期</w:t>
      </w:r>
      <w:r>
        <w:rPr>
          <w:rFonts w:ascii="宋体" w:eastAsia="仿宋_GB2312" w:hAnsi="宋体" w:cs="仿宋_GB2312"/>
          <w:sz w:val="32"/>
          <w:szCs w:val="32"/>
        </w:rPr>
        <w:t>分析</w:t>
      </w:r>
      <w:proofErr w:type="gramStart"/>
      <w:r>
        <w:rPr>
          <w:rFonts w:ascii="宋体" w:eastAsia="仿宋_GB2312" w:hAnsi="宋体" w:cs="仿宋_GB2312"/>
          <w:sz w:val="32"/>
          <w:szCs w:val="32"/>
        </w:rPr>
        <w:t>研</w:t>
      </w:r>
      <w:proofErr w:type="gramEnd"/>
      <w:r>
        <w:rPr>
          <w:rFonts w:ascii="宋体" w:eastAsia="仿宋_GB2312" w:hAnsi="宋体" w:cs="仿宋_GB2312"/>
          <w:sz w:val="32"/>
          <w:szCs w:val="32"/>
        </w:rPr>
        <w:t>判所辖各区域、各专业领域</w:t>
      </w:r>
      <w:r>
        <w:rPr>
          <w:rFonts w:ascii="宋体" w:eastAsia="仿宋_GB2312" w:hAnsi="宋体" w:cs="仿宋_GB2312" w:hint="eastAsia"/>
          <w:sz w:val="32"/>
          <w:szCs w:val="32"/>
        </w:rPr>
        <w:t>、各重点单位</w:t>
      </w:r>
      <w:r>
        <w:rPr>
          <w:rFonts w:ascii="宋体" w:eastAsia="仿宋_GB2312" w:hAnsi="宋体" w:cs="仿宋_GB2312"/>
          <w:sz w:val="32"/>
          <w:szCs w:val="32"/>
        </w:rPr>
        <w:t>安全生产状况</w:t>
      </w:r>
      <w:r>
        <w:rPr>
          <w:rFonts w:ascii="宋体" w:eastAsia="仿宋_GB2312" w:hAnsi="宋体" w:cs="仿宋_GB2312" w:hint="eastAsia"/>
          <w:sz w:val="32"/>
          <w:szCs w:val="32"/>
        </w:rPr>
        <w:t>，形成直观的、量化的、结论性的评价结果。</w:t>
      </w:r>
    </w:p>
    <w:p w:rsidR="007800EB" w:rsidRDefault="00D67590">
      <w:pPr>
        <w:spacing w:line="600" w:lineRule="exact"/>
        <w:ind w:firstLineChars="200" w:firstLine="640"/>
        <w:outlineLvl w:val="2"/>
        <w:rPr>
          <w:rFonts w:ascii="楷体" w:eastAsia="楷体" w:hAnsi="楷体" w:cs="楷体"/>
          <w:sz w:val="32"/>
          <w:szCs w:val="32"/>
        </w:rPr>
      </w:pPr>
      <w:bookmarkStart w:id="111" w:name="_Toc9268"/>
      <w:r>
        <w:rPr>
          <w:rFonts w:ascii="楷体" w:eastAsia="楷体" w:hAnsi="楷体" w:cs="楷体" w:hint="eastAsia"/>
          <w:sz w:val="32"/>
          <w:szCs w:val="32"/>
        </w:rPr>
        <w:t>2.2 落实监管措施</w:t>
      </w:r>
      <w:bookmarkEnd w:id="111"/>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水行政主管部门、流域管理机构应及时公布安全生产状况评价结果，</w:t>
      </w:r>
      <w:r>
        <w:rPr>
          <w:rFonts w:ascii="仿宋_GB2312" w:eastAsia="仿宋_GB2312" w:hAnsi="仿宋_GB2312" w:cs="仿宋_GB2312" w:hint="eastAsia"/>
          <w:sz w:val="32"/>
          <w:szCs w:val="32"/>
          <w:lang w:bidi="ar"/>
        </w:rPr>
        <w:t>由综合监管部门会同有关专业监管部门，</w:t>
      </w:r>
      <w:r>
        <w:rPr>
          <w:rFonts w:ascii="仿宋_GB2312" w:eastAsia="仿宋_GB2312" w:hAnsi="仿宋_GB2312" w:cs="仿宋_GB2312" w:hint="eastAsia"/>
          <w:sz w:val="32"/>
          <w:szCs w:val="32"/>
        </w:rPr>
        <w:t>对风险状况认真分析，提出防范措施，有针对性地对风险程度较高的地区、单位采取重点监管措施。</w:t>
      </w:r>
    </w:p>
    <w:p w:rsidR="007800EB" w:rsidRDefault="00D67590">
      <w:pPr>
        <w:spacing w:line="600" w:lineRule="exact"/>
        <w:ind w:firstLine="641"/>
        <w:outlineLvl w:val="1"/>
        <w:rPr>
          <w:rFonts w:ascii="方正黑体_GBK" w:eastAsia="方正黑体_GBK" w:hAnsi="方正黑体_GBK" w:cs="方正黑体_GBK"/>
          <w:sz w:val="32"/>
          <w:szCs w:val="32"/>
        </w:rPr>
      </w:pPr>
      <w:bookmarkStart w:id="112" w:name="_Toc5899"/>
      <w:r>
        <w:rPr>
          <w:rFonts w:ascii="方正黑体_GBK" w:eastAsia="方正黑体_GBK" w:hAnsi="方正黑体_GBK" w:cs="方正黑体_GBK" w:hint="eastAsia"/>
          <w:sz w:val="32"/>
          <w:szCs w:val="32"/>
        </w:rPr>
        <w:t>3 预警机制</w:t>
      </w:r>
      <w:bookmarkEnd w:id="112"/>
    </w:p>
    <w:p w:rsidR="007800EB" w:rsidRDefault="00D67590">
      <w:pPr>
        <w:spacing w:line="600" w:lineRule="exact"/>
        <w:ind w:firstLineChars="200" w:firstLine="640"/>
        <w:outlineLvl w:val="2"/>
        <w:rPr>
          <w:rFonts w:ascii="楷体" w:eastAsia="楷体" w:hAnsi="楷体" w:cs="楷体"/>
          <w:sz w:val="32"/>
          <w:szCs w:val="32"/>
        </w:rPr>
      </w:pPr>
      <w:bookmarkStart w:id="113" w:name="_Toc3551"/>
      <w:r>
        <w:rPr>
          <w:rFonts w:ascii="楷体" w:eastAsia="楷体" w:hAnsi="楷体" w:cs="楷体" w:hint="eastAsia"/>
          <w:sz w:val="32"/>
          <w:szCs w:val="32"/>
        </w:rPr>
        <w:t>3.1 明确预警条件</w:t>
      </w:r>
      <w:bookmarkEnd w:id="113"/>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水行政主管部门、流域管理机构应明确本级安全风险预警参数和预警条件。预警参数和预警条件可参照管辖范围内水利生产经营单位“重大风险危险源管控措施不到位、重大风险危险源数量及危害性超出现有最大管控能力、长期填报零隐患、危险源或隐患填报情况与监督检查实际不符、存在重大事故隐患被挂牌督办、重大事故隐患超过整改时限未整改、同类隐患长期或反复出现、危险源隐患情况或数量与实际不符”等问题设置。</w:t>
      </w:r>
    </w:p>
    <w:p w:rsidR="007800EB" w:rsidRDefault="00D67590">
      <w:pPr>
        <w:spacing w:line="600" w:lineRule="exact"/>
        <w:ind w:firstLineChars="200" w:firstLine="640"/>
        <w:outlineLvl w:val="2"/>
        <w:rPr>
          <w:rFonts w:ascii="楷体" w:eastAsia="楷体" w:hAnsi="楷体" w:cs="楷体"/>
          <w:sz w:val="32"/>
          <w:szCs w:val="32"/>
        </w:rPr>
      </w:pPr>
      <w:bookmarkStart w:id="114" w:name="_Toc27080"/>
      <w:r>
        <w:rPr>
          <w:rFonts w:ascii="楷体" w:eastAsia="楷体" w:hAnsi="楷体" w:cs="楷体" w:hint="eastAsia"/>
          <w:sz w:val="32"/>
          <w:szCs w:val="32"/>
        </w:rPr>
        <w:t>3.2 及时采取处置措施</w:t>
      </w:r>
      <w:bookmarkEnd w:id="114"/>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预警条件触发后，相关水行政主管部门、流域管理机构</w:t>
      </w:r>
      <w:r>
        <w:rPr>
          <w:rFonts w:ascii="仿宋_GB2312" w:eastAsia="仿宋_GB2312" w:hAnsi="仿宋_GB2312" w:cs="仿宋_GB2312" w:hint="eastAsia"/>
          <w:sz w:val="32"/>
          <w:szCs w:val="32"/>
        </w:rPr>
        <w:lastRenderedPageBreak/>
        <w:t>应及时采取监管措施，指导水利生产经营单位加强管理。</w:t>
      </w:r>
    </w:p>
    <w:p w:rsidR="007800EB" w:rsidRDefault="00D67590">
      <w:pPr>
        <w:spacing w:line="60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rPr>
        <w:t>预警解除后，应认真查找管控体系、管控措施可能存在的漏洞不足，结合危险源辨识、风险评价等工作完善风险管控机制。</w:t>
      </w:r>
    </w:p>
    <w:p w:rsidR="007800EB" w:rsidRDefault="00D67590">
      <w:pPr>
        <w:spacing w:line="600" w:lineRule="exact"/>
        <w:ind w:firstLine="641"/>
        <w:outlineLvl w:val="1"/>
        <w:rPr>
          <w:rFonts w:ascii="方正黑体_GBK" w:eastAsia="方正黑体_GBK" w:hAnsi="方正黑体_GBK" w:cs="方正黑体_GBK"/>
          <w:sz w:val="32"/>
          <w:szCs w:val="32"/>
        </w:rPr>
      </w:pPr>
      <w:bookmarkStart w:id="115" w:name="_Toc18829"/>
      <w:r>
        <w:rPr>
          <w:rFonts w:ascii="方正黑体_GBK" w:eastAsia="方正黑体_GBK" w:hAnsi="方正黑体_GBK" w:cs="方正黑体_GBK" w:hint="eastAsia"/>
          <w:sz w:val="32"/>
          <w:szCs w:val="32"/>
        </w:rPr>
        <w:t>4 防范机制</w:t>
      </w:r>
      <w:bookmarkEnd w:id="115"/>
    </w:p>
    <w:p w:rsidR="007800EB" w:rsidRDefault="00D67590">
      <w:pPr>
        <w:spacing w:line="600" w:lineRule="exact"/>
        <w:ind w:firstLineChars="200" w:firstLine="640"/>
        <w:outlineLvl w:val="2"/>
        <w:rPr>
          <w:rFonts w:ascii="楷体" w:eastAsia="楷体" w:hAnsi="楷体" w:cs="楷体"/>
          <w:sz w:val="32"/>
          <w:szCs w:val="32"/>
        </w:rPr>
      </w:pPr>
      <w:bookmarkStart w:id="116" w:name="_Toc29104"/>
      <w:r>
        <w:rPr>
          <w:rFonts w:ascii="楷体" w:eastAsia="楷体" w:hAnsi="楷体" w:cs="楷体" w:hint="eastAsia"/>
          <w:sz w:val="32"/>
          <w:szCs w:val="32"/>
        </w:rPr>
        <w:t>4.</w:t>
      </w:r>
      <w:r>
        <w:rPr>
          <w:rFonts w:ascii="楷体" w:eastAsia="楷体" w:hAnsi="楷体" w:cs="楷体"/>
          <w:sz w:val="32"/>
          <w:szCs w:val="32"/>
        </w:rPr>
        <w:t>1</w:t>
      </w:r>
      <w:r>
        <w:rPr>
          <w:rFonts w:ascii="楷体" w:eastAsia="楷体" w:hAnsi="楷体" w:cs="楷体" w:hint="eastAsia"/>
          <w:sz w:val="32"/>
          <w:szCs w:val="32"/>
        </w:rPr>
        <w:t xml:space="preserve"> 推进“安全监管+信息化”</w:t>
      </w:r>
      <w:bookmarkEnd w:id="116"/>
    </w:p>
    <w:p w:rsidR="007800EB" w:rsidRDefault="00D67590">
      <w:pPr>
        <w:spacing w:line="600" w:lineRule="exact"/>
        <w:ind w:firstLineChars="200" w:firstLine="640"/>
        <w:rPr>
          <w:rFonts w:ascii="宋体" w:eastAsia="仿宋_GB2312" w:hAnsi="宋体" w:cs="仿宋_GB2312"/>
          <w:sz w:val="32"/>
          <w:szCs w:val="32"/>
        </w:rPr>
      </w:pPr>
      <w:r>
        <w:rPr>
          <w:rFonts w:ascii="仿宋_GB2312" w:eastAsia="仿宋_GB2312" w:hAnsi="仿宋_GB2312" w:cs="仿宋_GB2312" w:hint="eastAsia"/>
          <w:sz w:val="32"/>
          <w:szCs w:val="32"/>
        </w:rPr>
        <w:t>水行政主管部门、流域管理机构应积极运用信息化手段推进安全生产监管数字化转型，</w:t>
      </w:r>
      <w:r>
        <w:rPr>
          <w:rFonts w:ascii="仿宋_GB2312" w:eastAsia="仿宋_GB2312" w:hAnsi="仿宋_GB2312" w:cs="仿宋_GB2312"/>
          <w:sz w:val="32"/>
          <w:szCs w:val="32"/>
        </w:rPr>
        <w:t>将管辖范围内所有监管对象</w:t>
      </w:r>
      <w:r>
        <w:rPr>
          <w:rFonts w:ascii="仿宋_GB2312" w:eastAsia="仿宋_GB2312" w:hAnsi="仿宋_GB2312" w:cs="仿宋_GB2312" w:hint="eastAsia"/>
          <w:sz w:val="32"/>
          <w:szCs w:val="32"/>
        </w:rPr>
        <w:t>全部</w:t>
      </w:r>
      <w:r>
        <w:rPr>
          <w:rFonts w:ascii="仿宋_GB2312" w:eastAsia="仿宋_GB2312" w:hAnsi="仿宋_GB2312" w:cs="仿宋_GB2312"/>
          <w:sz w:val="32"/>
          <w:szCs w:val="32"/>
        </w:rPr>
        <w:t>纳入水利安全</w:t>
      </w:r>
      <w:r>
        <w:rPr>
          <w:rFonts w:ascii="仿宋_GB2312" w:eastAsia="仿宋_GB2312" w:hAnsi="仿宋_GB2312" w:cs="仿宋_GB2312" w:hint="eastAsia"/>
          <w:sz w:val="32"/>
          <w:szCs w:val="32"/>
        </w:rPr>
        <w:t>生产</w:t>
      </w:r>
      <w:r>
        <w:rPr>
          <w:rFonts w:ascii="仿宋_GB2312" w:eastAsia="仿宋_GB2312" w:hAnsi="仿宋_GB2312" w:cs="仿宋_GB2312"/>
          <w:sz w:val="32"/>
          <w:szCs w:val="32"/>
        </w:rPr>
        <w:t>监管信息系统</w:t>
      </w:r>
      <w:r>
        <w:rPr>
          <w:rFonts w:ascii="仿宋_GB2312" w:eastAsia="仿宋_GB2312" w:hAnsi="仿宋_GB2312" w:cs="仿宋_GB2312" w:hint="eastAsia"/>
          <w:sz w:val="32"/>
          <w:szCs w:val="32"/>
        </w:rPr>
        <w:t>进行管理，督促水利生产经营单位按要求</w:t>
      </w:r>
      <w:r>
        <w:rPr>
          <w:rFonts w:ascii="仿宋_GB2312" w:eastAsia="仿宋_GB2312" w:hAnsi="仿宋_GB2312" w:cs="仿宋_GB2312"/>
          <w:sz w:val="32"/>
          <w:szCs w:val="32"/>
        </w:rPr>
        <w:t>统计和报送</w:t>
      </w:r>
      <w:r>
        <w:rPr>
          <w:rFonts w:ascii="仿宋_GB2312" w:eastAsia="仿宋_GB2312" w:hAnsi="仿宋_GB2312" w:cs="仿宋_GB2312" w:hint="eastAsia"/>
          <w:sz w:val="32"/>
          <w:szCs w:val="32"/>
        </w:rPr>
        <w:t>危险源、隐患、事故等</w:t>
      </w:r>
      <w:r>
        <w:rPr>
          <w:rFonts w:ascii="仿宋_GB2312" w:eastAsia="仿宋_GB2312" w:hAnsi="仿宋_GB2312" w:cs="仿宋_GB2312"/>
          <w:sz w:val="32"/>
          <w:szCs w:val="32"/>
        </w:rPr>
        <w:t>安全生产信息</w:t>
      </w:r>
      <w:r>
        <w:rPr>
          <w:rFonts w:ascii="仿宋_GB2312" w:eastAsia="仿宋_GB2312" w:hAnsi="仿宋_GB2312" w:cs="仿宋_GB2312" w:hint="eastAsia"/>
          <w:sz w:val="32"/>
          <w:szCs w:val="32"/>
        </w:rPr>
        <w:t>，依托系统开展线上常态化监管</w:t>
      </w:r>
      <w:r>
        <w:rPr>
          <w:rFonts w:ascii="宋体" w:eastAsia="仿宋_GB2312" w:hAnsi="宋体" w:cs="仿宋_GB2312" w:hint="eastAsia"/>
          <w:sz w:val="32"/>
          <w:szCs w:val="32"/>
        </w:rPr>
        <w:t>。</w:t>
      </w:r>
    </w:p>
    <w:p w:rsidR="007800EB" w:rsidRDefault="00D67590">
      <w:pPr>
        <w:spacing w:line="600" w:lineRule="exact"/>
        <w:ind w:firstLineChars="200" w:firstLine="640"/>
        <w:outlineLvl w:val="2"/>
        <w:rPr>
          <w:rFonts w:ascii="楷体" w:eastAsia="楷体" w:hAnsi="楷体" w:cs="楷体"/>
          <w:sz w:val="32"/>
          <w:szCs w:val="32"/>
        </w:rPr>
      </w:pPr>
      <w:bookmarkStart w:id="117" w:name="_Toc32037"/>
      <w:bookmarkStart w:id="118" w:name="_Toc16453"/>
      <w:r>
        <w:rPr>
          <w:rFonts w:ascii="楷体" w:eastAsia="楷体" w:hAnsi="楷体" w:cs="楷体" w:hint="eastAsia"/>
          <w:sz w:val="32"/>
          <w:szCs w:val="32"/>
        </w:rPr>
        <w:t>4.2 开展现场监督执法</w:t>
      </w:r>
      <w:bookmarkEnd w:id="117"/>
      <w:bookmarkEnd w:id="118"/>
    </w:p>
    <w:p w:rsidR="007800EB" w:rsidRDefault="00D67590">
      <w:pPr>
        <w:spacing w:line="60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水行政主管部门、流域管理机构应建立监督检查机制，</w:t>
      </w:r>
      <w:r>
        <w:rPr>
          <w:rFonts w:ascii="宋体" w:eastAsia="仿宋_GB2312" w:hAnsi="宋体" w:cs="仿宋_GB2312"/>
          <w:sz w:val="32"/>
          <w:szCs w:val="32"/>
        </w:rPr>
        <w:t>统筹综合监管和专业监管</w:t>
      </w:r>
      <w:r>
        <w:rPr>
          <w:rFonts w:ascii="宋体" w:eastAsia="仿宋_GB2312" w:hAnsi="宋体" w:cs="仿宋_GB2312" w:hint="eastAsia"/>
          <w:sz w:val="32"/>
          <w:szCs w:val="32"/>
        </w:rPr>
        <w:t>部门监管</w:t>
      </w:r>
      <w:r>
        <w:rPr>
          <w:rFonts w:ascii="宋体" w:eastAsia="仿宋_GB2312" w:hAnsi="宋体" w:cs="仿宋_GB2312"/>
          <w:sz w:val="32"/>
          <w:szCs w:val="32"/>
        </w:rPr>
        <w:t>要求，</w:t>
      </w:r>
      <w:r>
        <w:rPr>
          <w:rFonts w:ascii="宋体" w:eastAsia="仿宋_GB2312" w:hAnsi="宋体" w:cs="仿宋_GB2312" w:hint="eastAsia"/>
          <w:sz w:val="32"/>
          <w:szCs w:val="32"/>
        </w:rPr>
        <w:t>采取行政执法、事中事后监管、</w:t>
      </w:r>
      <w:r>
        <w:rPr>
          <w:rFonts w:ascii="宋体" w:eastAsia="仿宋_GB2312" w:hAnsi="宋体" w:cs="仿宋_GB2312"/>
          <w:sz w:val="32"/>
          <w:szCs w:val="32"/>
        </w:rPr>
        <w:t>“</w:t>
      </w:r>
      <w:r>
        <w:rPr>
          <w:rFonts w:ascii="宋体" w:eastAsia="仿宋_GB2312" w:hAnsi="宋体" w:cs="仿宋_GB2312"/>
          <w:sz w:val="32"/>
          <w:szCs w:val="32"/>
        </w:rPr>
        <w:t>四</w:t>
      </w:r>
      <w:proofErr w:type="gramStart"/>
      <w:r>
        <w:rPr>
          <w:rFonts w:ascii="宋体" w:eastAsia="仿宋_GB2312" w:hAnsi="宋体" w:cs="仿宋_GB2312"/>
          <w:sz w:val="32"/>
          <w:szCs w:val="32"/>
        </w:rPr>
        <w:t>不</w:t>
      </w:r>
      <w:proofErr w:type="gramEnd"/>
      <w:r>
        <w:rPr>
          <w:rFonts w:ascii="宋体" w:eastAsia="仿宋_GB2312" w:hAnsi="宋体" w:cs="仿宋_GB2312"/>
          <w:sz w:val="32"/>
          <w:szCs w:val="32"/>
        </w:rPr>
        <w:t>两直</w:t>
      </w:r>
      <w:r>
        <w:rPr>
          <w:rFonts w:ascii="宋体" w:eastAsia="仿宋_GB2312" w:hAnsi="宋体" w:cs="仿宋_GB2312"/>
          <w:sz w:val="32"/>
          <w:szCs w:val="32"/>
        </w:rPr>
        <w:t>”</w:t>
      </w:r>
      <w:r>
        <w:rPr>
          <w:rFonts w:ascii="宋体" w:eastAsia="仿宋_GB2312" w:hAnsi="宋体" w:cs="仿宋_GB2312" w:hint="eastAsia"/>
          <w:sz w:val="32"/>
          <w:szCs w:val="32"/>
        </w:rPr>
        <w:t>暗访等</w:t>
      </w:r>
      <w:r>
        <w:rPr>
          <w:rFonts w:ascii="宋体" w:eastAsia="仿宋_GB2312" w:hAnsi="宋体" w:cs="仿宋_GB2312"/>
          <w:sz w:val="32"/>
          <w:szCs w:val="32"/>
        </w:rPr>
        <w:t>形式，</w:t>
      </w:r>
      <w:r>
        <w:rPr>
          <w:rFonts w:ascii="宋体" w:eastAsia="仿宋_GB2312" w:hAnsi="宋体" w:cs="仿宋_GB2312" w:hint="eastAsia"/>
          <w:sz w:val="32"/>
          <w:szCs w:val="32"/>
        </w:rPr>
        <w:t>从</w:t>
      </w:r>
      <w:r>
        <w:rPr>
          <w:rFonts w:ascii="仿宋_GB2312" w:eastAsia="仿宋_GB2312" w:hAnsi="仿宋_GB2312" w:cs="仿宋_GB2312"/>
          <w:sz w:val="32"/>
          <w:szCs w:val="32"/>
        </w:rPr>
        <w:t>水利安全</w:t>
      </w:r>
      <w:r>
        <w:rPr>
          <w:rFonts w:ascii="仿宋_GB2312" w:eastAsia="仿宋_GB2312" w:hAnsi="仿宋_GB2312" w:cs="仿宋_GB2312" w:hint="eastAsia"/>
          <w:sz w:val="32"/>
          <w:szCs w:val="32"/>
        </w:rPr>
        <w:t>生产</w:t>
      </w:r>
      <w:r>
        <w:rPr>
          <w:rFonts w:ascii="仿宋_GB2312" w:eastAsia="仿宋_GB2312" w:hAnsi="仿宋_GB2312" w:cs="仿宋_GB2312"/>
          <w:sz w:val="32"/>
          <w:szCs w:val="32"/>
        </w:rPr>
        <w:t>监管信息系统</w:t>
      </w:r>
      <w:r>
        <w:rPr>
          <w:rFonts w:ascii="宋体" w:eastAsia="仿宋_GB2312" w:hAnsi="宋体" w:cs="仿宋_GB2312"/>
          <w:sz w:val="32"/>
          <w:szCs w:val="32"/>
        </w:rPr>
        <w:t>线上抽选项目或单位，</w:t>
      </w:r>
      <w:r>
        <w:rPr>
          <w:rFonts w:ascii="宋体" w:eastAsia="仿宋_GB2312" w:hAnsi="宋体" w:cs="仿宋_GB2312" w:hint="eastAsia"/>
          <w:sz w:val="32"/>
          <w:szCs w:val="32"/>
        </w:rPr>
        <w:t>通过</w:t>
      </w:r>
      <w:r>
        <w:rPr>
          <w:rFonts w:ascii="宋体" w:eastAsia="仿宋_GB2312" w:hAnsi="宋体" w:cs="仿宋_GB2312"/>
          <w:sz w:val="32"/>
          <w:szCs w:val="32"/>
        </w:rPr>
        <w:t>线下检查</w:t>
      </w:r>
      <w:proofErr w:type="gramStart"/>
      <w:r>
        <w:rPr>
          <w:rFonts w:ascii="宋体" w:eastAsia="仿宋_GB2312" w:hAnsi="宋体" w:cs="仿宋_GB2312"/>
          <w:sz w:val="32"/>
          <w:szCs w:val="32"/>
        </w:rPr>
        <w:t>核实线</w:t>
      </w:r>
      <w:proofErr w:type="gramEnd"/>
      <w:r>
        <w:rPr>
          <w:rFonts w:ascii="宋体" w:eastAsia="仿宋_GB2312" w:hAnsi="宋体" w:cs="仿宋_GB2312"/>
          <w:sz w:val="32"/>
          <w:szCs w:val="32"/>
        </w:rPr>
        <w:t>上报送信息的真实性，</w:t>
      </w:r>
      <w:r>
        <w:rPr>
          <w:rFonts w:ascii="宋体" w:eastAsia="仿宋_GB2312" w:hAnsi="宋体" w:cs="仿宋_GB2312" w:hint="eastAsia"/>
          <w:sz w:val="32"/>
          <w:szCs w:val="32"/>
        </w:rPr>
        <w:t>将重大风险危险源管控措施、水利工程重大事故隐患清单等作为</w:t>
      </w:r>
      <w:r>
        <w:rPr>
          <w:rFonts w:ascii="宋体" w:eastAsia="仿宋_GB2312" w:hAnsi="宋体" w:cs="仿宋_GB2312"/>
          <w:sz w:val="32"/>
          <w:szCs w:val="32"/>
        </w:rPr>
        <w:t>线下检查</w:t>
      </w:r>
      <w:r>
        <w:rPr>
          <w:rFonts w:ascii="宋体" w:eastAsia="仿宋_GB2312" w:hAnsi="宋体" w:cs="仿宋_GB2312" w:hint="eastAsia"/>
          <w:sz w:val="32"/>
          <w:szCs w:val="32"/>
        </w:rPr>
        <w:t>必查内容，</w:t>
      </w:r>
      <w:r>
        <w:rPr>
          <w:rFonts w:ascii="宋体" w:eastAsia="仿宋_GB2312" w:hAnsi="宋体" w:cs="仿宋_GB2312"/>
          <w:sz w:val="32"/>
          <w:szCs w:val="32"/>
        </w:rPr>
        <w:t>检查中发现隐患督促</w:t>
      </w:r>
      <w:r>
        <w:rPr>
          <w:rFonts w:ascii="宋体" w:eastAsia="仿宋_GB2312" w:hAnsi="宋体" w:cs="仿宋_GB2312" w:hint="eastAsia"/>
          <w:sz w:val="32"/>
          <w:szCs w:val="32"/>
        </w:rPr>
        <w:t>水利生产经营单位</w:t>
      </w:r>
      <w:r>
        <w:rPr>
          <w:rFonts w:ascii="宋体" w:eastAsia="仿宋_GB2312" w:hAnsi="宋体" w:cs="仿宋_GB2312"/>
          <w:sz w:val="32"/>
          <w:szCs w:val="32"/>
        </w:rPr>
        <w:t>及时治理。</w:t>
      </w:r>
      <w:r>
        <w:rPr>
          <w:rFonts w:ascii="宋体" w:eastAsia="仿宋_GB2312" w:hAnsi="宋体" w:cs="仿宋_GB2312" w:hint="eastAsia"/>
          <w:sz w:val="32"/>
          <w:szCs w:val="32"/>
        </w:rPr>
        <w:t>其中，水利部及其直属单位面向地方基层组织开展的监督检查纳入水利部年度督查检</w:t>
      </w:r>
      <w:proofErr w:type="gramStart"/>
      <w:r>
        <w:rPr>
          <w:rFonts w:ascii="宋体" w:eastAsia="仿宋_GB2312" w:hAnsi="宋体" w:cs="仿宋_GB2312" w:hint="eastAsia"/>
          <w:sz w:val="32"/>
          <w:szCs w:val="32"/>
        </w:rPr>
        <w:t>查考核</w:t>
      </w:r>
      <w:proofErr w:type="gramEnd"/>
      <w:r>
        <w:rPr>
          <w:rFonts w:ascii="宋体" w:eastAsia="仿宋_GB2312" w:hAnsi="宋体" w:cs="仿宋_GB2312" w:hint="eastAsia"/>
          <w:sz w:val="32"/>
          <w:szCs w:val="32"/>
        </w:rPr>
        <w:t>计划管理。</w:t>
      </w:r>
    </w:p>
    <w:p w:rsidR="007800EB" w:rsidRDefault="00D67590">
      <w:pPr>
        <w:spacing w:line="600" w:lineRule="exact"/>
        <w:ind w:firstLineChars="200" w:firstLine="640"/>
        <w:outlineLvl w:val="2"/>
        <w:rPr>
          <w:rFonts w:ascii="楷体" w:eastAsia="楷体" w:hAnsi="楷体" w:cs="楷体"/>
          <w:sz w:val="32"/>
          <w:szCs w:val="32"/>
        </w:rPr>
      </w:pPr>
      <w:bookmarkStart w:id="119" w:name="_Toc22124"/>
      <w:bookmarkStart w:id="120" w:name="_Toc156"/>
      <w:r>
        <w:rPr>
          <w:rFonts w:ascii="楷体" w:eastAsia="楷体" w:hAnsi="楷体" w:cs="楷体" w:hint="eastAsia"/>
          <w:sz w:val="32"/>
          <w:szCs w:val="32"/>
        </w:rPr>
        <w:t>4.3 建立重大事故隐患治理审核销号机制</w:t>
      </w:r>
      <w:bookmarkEnd w:id="119"/>
      <w:bookmarkEnd w:id="120"/>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4.3.1 水行政主管部门、流域管理机构应依托水利安全</w:t>
      </w:r>
      <w:r>
        <w:rPr>
          <w:rFonts w:ascii="仿宋_GB2312" w:eastAsia="仿宋_GB2312" w:hAnsi="仿宋_GB2312" w:cs="仿宋_GB2312" w:hint="eastAsia"/>
          <w:sz w:val="32"/>
          <w:szCs w:val="32"/>
        </w:rPr>
        <w:lastRenderedPageBreak/>
        <w:t>生产监管信息系统建立管辖范围水利生产经营单位重大事故</w:t>
      </w:r>
      <w:proofErr w:type="gramStart"/>
      <w:r>
        <w:rPr>
          <w:rFonts w:ascii="仿宋_GB2312" w:eastAsia="仿宋_GB2312" w:hAnsi="仿宋_GB2312" w:cs="仿宋_GB2312" w:hint="eastAsia"/>
          <w:sz w:val="32"/>
          <w:szCs w:val="32"/>
        </w:rPr>
        <w:t>隐患台</w:t>
      </w:r>
      <w:proofErr w:type="gramEnd"/>
      <w:r>
        <w:rPr>
          <w:rFonts w:ascii="仿宋_GB2312" w:eastAsia="仿宋_GB2312" w:hAnsi="仿宋_GB2312" w:cs="仿宋_GB2312" w:hint="eastAsia"/>
          <w:sz w:val="32"/>
          <w:szCs w:val="32"/>
        </w:rPr>
        <w:t>账（见附件A.16），按照职责分工对重大事故隐患治理情况进行审核。</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4.3.2 水行政主管部门应建立健全重大事故隐患治理审核销号机制，明确审核责任和要求。经审核确认整改完成的重大事故隐患，可以进行销号。经审核未整改到位的，应进行重点督办，</w:t>
      </w:r>
      <w:r>
        <w:rPr>
          <w:rFonts w:ascii="仿宋_GB2312" w:eastAsia="仿宋_GB2312" w:hAnsi="仿宋_GB2312" w:cs="仿宋_GB2312" w:hint="eastAsia"/>
          <w:sz w:val="32"/>
          <w:szCs w:val="32"/>
          <w:lang w:bidi="ar"/>
        </w:rPr>
        <w:t>加大专业指导力度，确保重大事故隐患整改到位。</w:t>
      </w:r>
    </w:p>
    <w:p w:rsidR="007800EB" w:rsidRDefault="00D67590">
      <w:pPr>
        <w:spacing w:line="600" w:lineRule="exact"/>
        <w:ind w:firstLineChars="200" w:firstLine="640"/>
        <w:outlineLvl w:val="2"/>
        <w:rPr>
          <w:rFonts w:ascii="楷体" w:eastAsia="楷体" w:hAnsi="楷体" w:cs="楷体"/>
          <w:sz w:val="32"/>
          <w:szCs w:val="32"/>
        </w:rPr>
      </w:pPr>
      <w:bookmarkStart w:id="121" w:name="_Toc12385"/>
      <w:r>
        <w:rPr>
          <w:rFonts w:ascii="楷体" w:eastAsia="楷体" w:hAnsi="楷体" w:cs="楷体" w:hint="eastAsia"/>
          <w:sz w:val="32"/>
          <w:szCs w:val="32"/>
        </w:rPr>
        <w:t>4.4 开展安全生产教育培训</w:t>
      </w:r>
      <w:bookmarkEnd w:id="121"/>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4.4.1 水行政主管部门、流域管理机构应制定安全生产教育培训计划，组织对安全生产监管人员进行培训，将习近平总书记关于安全生产重要指示批示精神、安全生产法律法规、水利安全生产规章制度和技术标准、水利安全生产风险管控“六项机制”、水利工程重大事故隐患判定标准、水利安全生产业务知识技能等作为培训重点。建立</w:t>
      </w:r>
      <w:proofErr w:type="gramStart"/>
      <w:r>
        <w:rPr>
          <w:rFonts w:ascii="仿宋_GB2312" w:eastAsia="仿宋_GB2312" w:hAnsi="仿宋_GB2312" w:cs="仿宋_GB2312" w:hint="eastAsia"/>
          <w:sz w:val="32"/>
          <w:szCs w:val="32"/>
        </w:rPr>
        <w:t>培训台</w:t>
      </w:r>
      <w:proofErr w:type="gramEnd"/>
      <w:r>
        <w:rPr>
          <w:rFonts w:ascii="仿宋_GB2312" w:eastAsia="仿宋_GB2312" w:hAnsi="仿宋_GB2312" w:cs="仿宋_GB2312" w:hint="eastAsia"/>
          <w:sz w:val="32"/>
          <w:szCs w:val="32"/>
        </w:rPr>
        <w:t>账，如实记录培训时间、内容、参加人员以及培训考核结果等情况。</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4.4.2 水行政主管部门和流域管理机构应结合本地区实际，组织对自建应急救援队伍人员、所属水利生产经营单位主要负责人等人员开展必要的安全生产专业培训。监督和指导管辖范围内水利生产经营单位按规定落实安全生产教育和培训工作。</w:t>
      </w:r>
    </w:p>
    <w:p w:rsidR="007800EB" w:rsidRDefault="00D67590">
      <w:pPr>
        <w:spacing w:line="600" w:lineRule="exact"/>
        <w:ind w:firstLine="641"/>
        <w:outlineLvl w:val="1"/>
        <w:rPr>
          <w:rFonts w:ascii="方正黑体_GBK" w:eastAsia="方正黑体_GBK" w:hAnsi="方正黑体_GBK" w:cs="方正黑体_GBK"/>
          <w:sz w:val="32"/>
          <w:szCs w:val="32"/>
        </w:rPr>
      </w:pPr>
      <w:bookmarkStart w:id="122" w:name="_Toc12163"/>
      <w:r>
        <w:rPr>
          <w:rFonts w:ascii="方正黑体_GBK" w:eastAsia="方正黑体_GBK" w:hAnsi="方正黑体_GBK" w:cs="方正黑体_GBK" w:hint="eastAsia"/>
          <w:sz w:val="32"/>
          <w:szCs w:val="32"/>
        </w:rPr>
        <w:t>5 处置机制</w:t>
      </w:r>
      <w:bookmarkEnd w:id="122"/>
    </w:p>
    <w:p w:rsidR="007800EB" w:rsidRDefault="00D67590">
      <w:pPr>
        <w:spacing w:line="600" w:lineRule="exact"/>
        <w:ind w:firstLineChars="200" w:firstLine="640"/>
        <w:outlineLvl w:val="2"/>
        <w:rPr>
          <w:rFonts w:ascii="楷体" w:eastAsia="楷体" w:hAnsi="楷体" w:cs="楷体"/>
          <w:sz w:val="32"/>
          <w:szCs w:val="32"/>
        </w:rPr>
      </w:pPr>
      <w:bookmarkStart w:id="123" w:name="_Toc4092"/>
      <w:r>
        <w:rPr>
          <w:rFonts w:ascii="楷体" w:eastAsia="楷体" w:hAnsi="楷体" w:cs="楷体" w:hint="eastAsia"/>
          <w:sz w:val="32"/>
          <w:szCs w:val="32"/>
        </w:rPr>
        <w:t xml:space="preserve">5.1 </w:t>
      </w:r>
      <w:proofErr w:type="gramStart"/>
      <w:r>
        <w:rPr>
          <w:rFonts w:ascii="楷体" w:eastAsia="楷体" w:hAnsi="楷体" w:cs="楷体" w:hint="eastAsia"/>
          <w:sz w:val="32"/>
          <w:szCs w:val="32"/>
        </w:rPr>
        <w:t>健全部门</w:t>
      </w:r>
      <w:proofErr w:type="gramEnd"/>
      <w:r>
        <w:rPr>
          <w:rFonts w:ascii="楷体" w:eastAsia="楷体" w:hAnsi="楷体" w:cs="楷体" w:hint="eastAsia"/>
          <w:sz w:val="32"/>
          <w:szCs w:val="32"/>
        </w:rPr>
        <w:t>安全生产应急预案</w:t>
      </w:r>
      <w:bookmarkEnd w:id="123"/>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水行政主管部门、流域管理机构应按照《生产安全事故应急条例》等相关规定，制定部门安全生产应急预案。</w:t>
      </w:r>
    </w:p>
    <w:p w:rsidR="007800EB" w:rsidRDefault="00D67590">
      <w:pPr>
        <w:spacing w:line="600" w:lineRule="exact"/>
        <w:ind w:firstLineChars="200" w:firstLine="640"/>
        <w:outlineLvl w:val="2"/>
        <w:rPr>
          <w:rFonts w:ascii="楷体" w:eastAsia="楷体" w:hAnsi="楷体" w:cs="楷体"/>
          <w:sz w:val="32"/>
          <w:szCs w:val="32"/>
        </w:rPr>
      </w:pPr>
      <w:bookmarkStart w:id="124" w:name="_Toc31078"/>
      <w:r>
        <w:rPr>
          <w:rFonts w:ascii="楷体" w:eastAsia="楷体" w:hAnsi="楷体" w:cs="楷体" w:hint="eastAsia"/>
          <w:sz w:val="32"/>
          <w:szCs w:val="32"/>
        </w:rPr>
        <w:t>5.2 开展应急演练和评估</w:t>
      </w:r>
      <w:bookmarkEnd w:id="124"/>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5.2.1 水行政主管部门、流域管理机构应定期开展应急预案演练。开展应急演练前应编制演练方案（见附件A.17），准备应急演练所需的物资。演练方案应包括演练目的及要求、事故情景、参与人员及范围、时间与地点、主要任务及职责、筹备工作内容、主要工作步骤、技术支撑及保障条件、评估与总结等主要内容。</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5.2.2 水行政主管部门、流域管理机构应按照演练方案组织开展应急演练，做好应急演练过程记录，整理留存参与人员签到表、演练照片或视频记录等材料。</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5.2.3 应急演练结束后，应对演练情况进行评估，分析存在的问题，编制应急演练评估报告，及时修订完善应急预案。演练评估报告应包括演练基本情况、演练评估过程、演练情况分析、改进的意见和建议等主要内容。</w:t>
      </w:r>
    </w:p>
    <w:p w:rsidR="007800EB" w:rsidRDefault="00D67590">
      <w:pPr>
        <w:spacing w:line="600" w:lineRule="exact"/>
        <w:ind w:firstLineChars="200" w:firstLine="640"/>
        <w:outlineLvl w:val="2"/>
        <w:rPr>
          <w:rFonts w:ascii="楷体" w:eastAsia="楷体" w:hAnsi="楷体" w:cs="楷体"/>
          <w:sz w:val="32"/>
          <w:szCs w:val="32"/>
        </w:rPr>
      </w:pPr>
      <w:bookmarkStart w:id="125" w:name="_Toc28505"/>
      <w:r>
        <w:rPr>
          <w:rFonts w:ascii="楷体" w:eastAsia="楷体" w:hAnsi="楷体" w:cs="楷体" w:hint="eastAsia"/>
          <w:sz w:val="32"/>
          <w:szCs w:val="32"/>
        </w:rPr>
        <w:t>5.3 快速有效开展应急处置</w:t>
      </w:r>
      <w:bookmarkEnd w:id="125"/>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5.3.1 水行政主管部门、流域管理机构收到水利生产经营单位的事故信息报告，应根据应急预案立即启动应急响应，指导水利生产经营单位妥善处置事故险情，防止事故扩大，减少事故损失，并跟踪社会舆情态势，按规定要求向社会发布有关信息。</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5.3.2 地方水行政主管部门接到事故报告后，应当按规</w:t>
      </w:r>
      <w:r>
        <w:rPr>
          <w:rFonts w:ascii="仿宋_GB2312" w:eastAsia="仿宋_GB2312" w:hAnsi="仿宋_GB2312" w:cs="仿宋_GB2312" w:hint="eastAsia"/>
          <w:sz w:val="32"/>
          <w:szCs w:val="32"/>
        </w:rPr>
        <w:lastRenderedPageBreak/>
        <w:t>定逐级上报事故情况。地方水行政主管部门接到发生较大事故的报告，应在事故发生1小时内快报、2小时内书面报告水利部监督司；特别重大事故、重大事故，应在20分钟内快报、40分钟内书面报告水利部监督司。</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部直属单位（直管工程）发生的生产安全事故信息，在逐级报告的同时，其中较大事故、有人员死亡的一般事故，应在事故发生1小时内快报、2小时内书面报告水利部监督司；发生特别重大事故、重大事故，应在20分钟内快报、40分钟内书面报告水利部监督司。</w:t>
      </w:r>
    </w:p>
    <w:p w:rsidR="007800EB" w:rsidRDefault="00D67590">
      <w:pPr>
        <w:spacing w:line="600" w:lineRule="exact"/>
        <w:ind w:firstLineChars="200" w:firstLine="640"/>
        <w:outlineLvl w:val="2"/>
        <w:rPr>
          <w:rFonts w:ascii="楷体" w:eastAsia="楷体" w:hAnsi="楷体" w:cs="楷体"/>
          <w:sz w:val="32"/>
          <w:szCs w:val="32"/>
        </w:rPr>
      </w:pPr>
      <w:bookmarkStart w:id="126" w:name="_Toc16092"/>
      <w:r>
        <w:rPr>
          <w:rFonts w:ascii="楷体" w:eastAsia="楷体" w:hAnsi="楷体" w:cs="楷体" w:hint="eastAsia"/>
          <w:sz w:val="32"/>
          <w:szCs w:val="32"/>
        </w:rPr>
        <w:t>5.4 加强应急保障能力建设</w:t>
      </w:r>
      <w:bookmarkEnd w:id="126"/>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5.4.1 水行政主管部门、流域管理机构应建立或明确应急救援队伍，根据有关规定并结合实际确定和配备必要的应急救援器材、设备和物资，建立应急装备和</w:t>
      </w:r>
      <w:proofErr w:type="gramStart"/>
      <w:r>
        <w:rPr>
          <w:rFonts w:ascii="仿宋_GB2312" w:eastAsia="仿宋_GB2312" w:hAnsi="仿宋_GB2312" w:cs="仿宋_GB2312" w:hint="eastAsia"/>
          <w:sz w:val="32"/>
          <w:szCs w:val="32"/>
        </w:rPr>
        <w:t>物资台</w:t>
      </w:r>
      <w:proofErr w:type="gramEnd"/>
      <w:r>
        <w:rPr>
          <w:rFonts w:ascii="仿宋_GB2312" w:eastAsia="仿宋_GB2312" w:hAnsi="仿宋_GB2312" w:cs="仿宋_GB2312" w:hint="eastAsia"/>
          <w:sz w:val="32"/>
          <w:szCs w:val="32"/>
        </w:rPr>
        <w:t>账（见附件A.12），设置专人管理，定期检查、维护、更新应急装备物资，确保正常使用。</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5.4.2 水行政主管部门、流域管理机构应建立并严格落实应急值班制度，明确值班方式、值班人员及职责、值班工作要求、信息报告和处置方式等。</w:t>
      </w:r>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5.4.3 水行政主管部门、流域管理机构应定期组织对管辖范围内重点水利生产经营单位应急演练情况开展监督检查，发现演练不符合要求的，应当责令限期整改。应督促管辖范围内水利生产经营单位按要求对生产安全事故应急预案进行备案。</w:t>
      </w:r>
    </w:p>
    <w:p w:rsidR="007800EB" w:rsidRDefault="00D67590">
      <w:pPr>
        <w:spacing w:line="600" w:lineRule="exact"/>
        <w:ind w:firstLineChars="200" w:firstLine="640"/>
        <w:outlineLvl w:val="1"/>
        <w:rPr>
          <w:rFonts w:ascii="方正黑体_GBK" w:eastAsia="方正黑体_GBK" w:hAnsi="方正黑体_GBK" w:cs="方正黑体_GBK"/>
          <w:sz w:val="32"/>
          <w:szCs w:val="32"/>
        </w:rPr>
      </w:pPr>
      <w:bookmarkStart w:id="127" w:name="_Toc9327"/>
      <w:r>
        <w:rPr>
          <w:rFonts w:ascii="方正黑体_GBK" w:eastAsia="方正黑体_GBK" w:hAnsi="方正黑体_GBK" w:cs="方正黑体_GBK" w:hint="eastAsia"/>
          <w:sz w:val="32"/>
          <w:szCs w:val="32"/>
        </w:rPr>
        <w:lastRenderedPageBreak/>
        <w:t>6 责任机制</w:t>
      </w:r>
      <w:bookmarkEnd w:id="127"/>
    </w:p>
    <w:p w:rsidR="007800EB" w:rsidRDefault="00D67590">
      <w:pPr>
        <w:spacing w:line="600" w:lineRule="exact"/>
        <w:ind w:firstLineChars="200" w:firstLine="640"/>
        <w:outlineLvl w:val="2"/>
        <w:rPr>
          <w:rFonts w:ascii="楷体" w:eastAsia="楷体" w:hAnsi="楷体" w:cs="楷体"/>
          <w:sz w:val="32"/>
          <w:szCs w:val="32"/>
        </w:rPr>
      </w:pPr>
      <w:bookmarkStart w:id="128" w:name="_Toc32468"/>
      <w:r>
        <w:rPr>
          <w:rFonts w:ascii="楷体" w:eastAsia="楷体" w:hAnsi="楷体" w:cs="楷体" w:hint="eastAsia"/>
          <w:sz w:val="32"/>
          <w:szCs w:val="32"/>
        </w:rPr>
        <w:t>6.1 建立党政领导干部职责清单和年度任务清单</w:t>
      </w:r>
      <w:bookmarkEnd w:id="128"/>
    </w:p>
    <w:p w:rsidR="007800EB" w:rsidRDefault="00D67590">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地方水行政主管部门、流域管理机构应建立本单位党政领导干部安全生产职责清单和年度任务清单，将落实安全生产风险管控“六项机制”作为重点纳入其中。</w:t>
      </w:r>
    </w:p>
    <w:p w:rsidR="007800EB" w:rsidRDefault="00D67590">
      <w:pPr>
        <w:spacing w:line="600" w:lineRule="exact"/>
        <w:ind w:firstLineChars="200" w:firstLine="640"/>
        <w:outlineLvl w:val="2"/>
        <w:rPr>
          <w:rFonts w:ascii="楷体" w:eastAsia="楷体" w:hAnsi="楷体" w:cs="楷体"/>
          <w:sz w:val="32"/>
          <w:szCs w:val="32"/>
        </w:rPr>
      </w:pPr>
      <w:bookmarkStart w:id="129" w:name="_Toc30711"/>
      <w:r>
        <w:rPr>
          <w:rFonts w:ascii="楷体" w:eastAsia="楷体" w:hAnsi="楷体" w:cs="楷体" w:hint="eastAsia"/>
          <w:sz w:val="32"/>
          <w:szCs w:val="32"/>
        </w:rPr>
        <w:t>6.2 建立综合监管和专业监管部门年度任务清单</w:t>
      </w:r>
      <w:bookmarkEnd w:id="129"/>
    </w:p>
    <w:p w:rsidR="007800EB" w:rsidRDefault="00D67590">
      <w:pPr>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水行政主管部门、流域管理机构应按照“三管三必须”原则，制定综合监管和专业监管部门的安全生产年度任务清单，明确重点工作任务、责任单位、完成时限，加强督办。</w:t>
      </w:r>
    </w:p>
    <w:p w:rsidR="007800EB" w:rsidRDefault="00D67590">
      <w:pPr>
        <w:spacing w:line="600" w:lineRule="exact"/>
        <w:ind w:firstLineChars="200" w:firstLine="640"/>
        <w:outlineLvl w:val="2"/>
        <w:rPr>
          <w:rFonts w:ascii="楷体" w:eastAsia="楷体" w:hAnsi="楷体" w:cs="楷体"/>
          <w:sz w:val="32"/>
          <w:szCs w:val="32"/>
        </w:rPr>
      </w:pPr>
      <w:bookmarkStart w:id="130" w:name="_Toc13955"/>
      <w:r>
        <w:rPr>
          <w:rFonts w:ascii="楷体" w:eastAsia="楷体" w:hAnsi="楷体" w:cs="楷体" w:hint="eastAsia"/>
          <w:sz w:val="32"/>
          <w:szCs w:val="32"/>
        </w:rPr>
        <w:t>6.3 严格安全生产执法处罚</w:t>
      </w:r>
      <w:bookmarkEnd w:id="130"/>
    </w:p>
    <w:p w:rsidR="007800EB" w:rsidRDefault="00D67590">
      <w:pPr>
        <w:widowControl/>
        <w:spacing w:line="600" w:lineRule="exact"/>
        <w:ind w:firstLineChars="200" w:firstLine="640"/>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t>地方水行政主管部门应按照水行政执法统一要求，加大水利安全生产领域执法处罚力度，明确行政裁量基准，加强执法能力建设，</w:t>
      </w:r>
      <w:r>
        <w:rPr>
          <w:rFonts w:ascii="仿宋_GB2312" w:eastAsia="仿宋_GB2312" w:hAnsi="仿宋_GB2312" w:cs="仿宋_GB2312" w:hint="eastAsia"/>
          <w:sz w:val="32"/>
          <w:szCs w:val="32"/>
          <w:lang w:bidi="ar"/>
        </w:rPr>
        <w:t>聚焦重大事故隐患排查整治，深入推进精准严格执法，严厉打击各类非法违法行为，依法采取停产整顿、关闭取缔、联合惩戒、“一案双罚”等手段，严格责任追究。定期公布安全生产执法典型案例，形成强有力的警示震慑。</w:t>
      </w:r>
    </w:p>
    <w:p w:rsidR="007800EB" w:rsidRDefault="00D67590">
      <w:pPr>
        <w:spacing w:line="600" w:lineRule="exact"/>
        <w:ind w:firstLineChars="200" w:firstLine="640"/>
        <w:outlineLvl w:val="2"/>
        <w:rPr>
          <w:rFonts w:ascii="楷体" w:eastAsia="楷体" w:hAnsi="楷体" w:cs="楷体"/>
          <w:sz w:val="32"/>
          <w:szCs w:val="32"/>
        </w:rPr>
      </w:pPr>
      <w:bookmarkStart w:id="131" w:name="_Toc29749"/>
      <w:r>
        <w:rPr>
          <w:rFonts w:ascii="楷体" w:eastAsia="楷体" w:hAnsi="楷体" w:cs="楷体" w:hint="eastAsia"/>
          <w:sz w:val="32"/>
          <w:szCs w:val="32"/>
        </w:rPr>
        <w:t>6.4 健全激励约束机制</w:t>
      </w:r>
      <w:bookmarkEnd w:id="131"/>
    </w:p>
    <w:p w:rsidR="007800EB" w:rsidRDefault="00D67590">
      <w:pPr>
        <w:spacing w:line="600" w:lineRule="exact"/>
        <w:ind w:firstLineChars="200" w:firstLine="640"/>
        <w:jc w:val="left"/>
        <w:rPr>
          <w:rFonts w:ascii="仿宋_GB2312" w:eastAsia="仿宋_GB2312" w:hAnsi="仿宋_GB2312" w:cs="仿宋_GB2312"/>
          <w:sz w:val="32"/>
          <w:szCs w:val="28"/>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sz w:val="32"/>
          <w:szCs w:val="32"/>
        </w:rPr>
        <w:t>水行政主管部门、流域管理机构</w:t>
      </w:r>
      <w:r>
        <w:rPr>
          <w:rFonts w:ascii="仿宋_GB2312" w:eastAsia="仿宋_GB2312" w:hAnsi="仿宋_GB2312" w:cs="仿宋_GB2312" w:hint="eastAsia"/>
          <w:sz w:val="32"/>
          <w:szCs w:val="28"/>
        </w:rPr>
        <w:t>应结合实际健全安全生产激励约束机制，将安全生产履职情况与领导干部考核、职级晋升、评优评先挂钩。将“六项机制”纳入水利安全生产标准化建设、</w:t>
      </w:r>
      <w:r>
        <w:rPr>
          <w:rFonts w:ascii="仿宋_GB2312" w:eastAsia="仿宋_GB2312" w:hAnsi="仿宋_GB2312" w:cs="仿宋_GB2312" w:hint="eastAsia"/>
          <w:sz w:val="32"/>
          <w:szCs w:val="28"/>
          <w:lang w:val="en"/>
        </w:rPr>
        <w:t>安管人员考核管理、</w:t>
      </w:r>
      <w:r>
        <w:rPr>
          <w:rFonts w:ascii="仿宋_GB2312" w:eastAsia="仿宋_GB2312" w:hAnsi="仿宋_GB2312" w:cs="仿宋_GB2312" w:hint="eastAsia"/>
          <w:sz w:val="32"/>
          <w:szCs w:val="28"/>
        </w:rPr>
        <w:t>安全生产责任保险制度落实和安全生产考核、评优评先等工作，统筹推进实施。</w:t>
      </w:r>
    </w:p>
    <w:p w:rsidR="007800EB" w:rsidRDefault="007800EB">
      <w:pPr>
        <w:pStyle w:val="a0"/>
        <w:ind w:firstLineChars="0" w:firstLine="0"/>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lang w:val="en"/>
        </w:rPr>
      </w:pPr>
      <w:r>
        <w:rPr>
          <w:rFonts w:ascii="仿宋_GB2312" w:eastAsia="仿宋_GB2312" w:hAnsi="仿宋_GB2312" w:cs="仿宋_GB2312"/>
          <w:noProof/>
          <w:kern w:val="2"/>
          <w:sz w:val="32"/>
          <w:szCs w:val="32"/>
        </w:rPr>
        <w:drawing>
          <wp:inline distT="0" distB="0" distL="114300" distR="114300" wp14:anchorId="557A09CA" wp14:editId="45D66053">
            <wp:extent cx="9103360" cy="3528060"/>
            <wp:effectExtent l="0" t="0" r="2540" b="15240"/>
            <wp:docPr id="34" name="图片 34" descr="19.查找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9.查找机制（部门）"/>
                    <pic:cNvPicPr>
                      <a:picLocks noChangeAspect="1"/>
                    </pic:cNvPicPr>
                  </pic:nvPicPr>
                  <pic:blipFill>
                    <a:blip r:embed="rId32"/>
                    <a:stretch>
                      <a:fillRect/>
                    </a:stretch>
                  </pic:blipFill>
                  <pic:spPr>
                    <a:xfrm>
                      <a:off x="0" y="0"/>
                      <a:ext cx="9103360" cy="3528060"/>
                    </a:xfrm>
                    <a:prstGeom prst="rect">
                      <a:avLst/>
                    </a:prstGeom>
                  </pic:spPr>
                </pic:pic>
              </a:graphicData>
            </a:graphic>
          </wp:inline>
        </w:drawing>
      </w: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图21 </w:t>
      </w:r>
      <w:r>
        <w:rPr>
          <w:rFonts w:ascii="仿宋_GB2312" w:eastAsia="仿宋_GB2312" w:hAnsi="仿宋_GB2312" w:cs="仿宋_GB2312" w:hint="eastAsia"/>
          <w:b/>
          <w:bCs/>
          <w:sz w:val="32"/>
          <w:szCs w:val="32"/>
        </w:rPr>
        <w:t>水行政主管部门、流域管理机构</w:t>
      </w:r>
      <w:r>
        <w:rPr>
          <w:rFonts w:ascii="仿宋_GB2312" w:eastAsia="仿宋_GB2312" w:hAnsi="仿宋_GB2312" w:cs="仿宋_GB2312" w:hint="eastAsia"/>
          <w:b/>
          <w:bCs/>
          <w:kern w:val="2"/>
          <w:sz w:val="32"/>
          <w:szCs w:val="32"/>
        </w:rPr>
        <w:t>查找机制工作内容框架图</w:t>
      </w:r>
    </w:p>
    <w:p w:rsidR="007800EB" w:rsidRDefault="007800EB">
      <w:pPr>
        <w:pStyle w:val="a0"/>
        <w:ind w:firstLineChars="0" w:firstLine="0"/>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4C3A371A" wp14:editId="7060D050">
            <wp:extent cx="9118600" cy="1911350"/>
            <wp:effectExtent l="0" t="0" r="0" b="0"/>
            <wp:docPr id="22" name="图片 42" descr="20.研判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20.研判机制（部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118600" cy="1911350"/>
                    </a:xfrm>
                    <a:prstGeom prst="rect">
                      <a:avLst/>
                    </a:prstGeom>
                    <a:noFill/>
                    <a:ln>
                      <a:noFill/>
                    </a:ln>
                    <a:effectLst/>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图22 </w:t>
      </w:r>
      <w:r>
        <w:rPr>
          <w:rFonts w:ascii="仿宋_GB2312" w:eastAsia="仿宋_GB2312" w:hAnsi="仿宋_GB2312" w:cs="仿宋_GB2312" w:hint="eastAsia"/>
          <w:b/>
          <w:bCs/>
          <w:sz w:val="32"/>
          <w:szCs w:val="32"/>
        </w:rPr>
        <w:t>水行政主管部门、流域管理机构</w:t>
      </w:r>
      <w:proofErr w:type="gramStart"/>
      <w:r>
        <w:rPr>
          <w:rFonts w:ascii="仿宋_GB2312" w:eastAsia="仿宋_GB2312" w:hAnsi="仿宋_GB2312" w:cs="仿宋_GB2312" w:hint="eastAsia"/>
          <w:b/>
          <w:bCs/>
          <w:kern w:val="2"/>
          <w:sz w:val="32"/>
          <w:szCs w:val="32"/>
        </w:rPr>
        <w:t>研判机制</w:t>
      </w:r>
      <w:proofErr w:type="gramEnd"/>
      <w:r>
        <w:rPr>
          <w:rFonts w:ascii="仿宋_GB2312" w:eastAsia="仿宋_GB2312" w:hAnsi="仿宋_GB2312" w:cs="仿宋_GB2312" w:hint="eastAsia"/>
          <w:b/>
          <w:bCs/>
          <w:kern w:val="2"/>
          <w:sz w:val="32"/>
          <w:szCs w:val="32"/>
        </w:rPr>
        <w:t>工作内容框架图</w:t>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4D246E2B" wp14:editId="09A3510D">
            <wp:extent cx="9029700" cy="2413000"/>
            <wp:effectExtent l="0" t="0" r="0" b="0"/>
            <wp:docPr id="23" name="图片 90" descr="21.预警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0" descr="21.预警机制（部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029700" cy="2413000"/>
                    </a:xfrm>
                    <a:prstGeom prst="rect">
                      <a:avLst/>
                    </a:prstGeom>
                    <a:noFill/>
                    <a:ln>
                      <a:noFill/>
                    </a:ln>
                  </pic:spPr>
                </pic:pic>
              </a:graphicData>
            </a:graphic>
          </wp:inline>
        </w:drawing>
      </w: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7800EB">
      <w:pPr>
        <w:pStyle w:val="a0"/>
        <w:ind w:firstLineChars="0" w:firstLine="0"/>
        <w:jc w:val="center"/>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图23 </w:t>
      </w:r>
      <w:r>
        <w:rPr>
          <w:rFonts w:ascii="仿宋_GB2312" w:eastAsia="仿宋_GB2312" w:hAnsi="仿宋_GB2312" w:cs="仿宋_GB2312" w:hint="eastAsia"/>
          <w:b/>
          <w:bCs/>
          <w:sz w:val="32"/>
          <w:szCs w:val="32"/>
        </w:rPr>
        <w:t>水行政主管部门、流域管理机构</w:t>
      </w:r>
      <w:r>
        <w:rPr>
          <w:rFonts w:ascii="仿宋_GB2312" w:eastAsia="仿宋_GB2312" w:hAnsi="仿宋_GB2312" w:cs="仿宋_GB2312" w:hint="eastAsia"/>
          <w:b/>
          <w:bCs/>
          <w:kern w:val="2"/>
          <w:sz w:val="32"/>
          <w:szCs w:val="32"/>
        </w:rPr>
        <w:t>预警机制工作内容框架图</w:t>
      </w:r>
    </w:p>
    <w:p w:rsidR="007800EB" w:rsidRDefault="00D67590">
      <w:pPr>
        <w:pStyle w:val="a0"/>
        <w:ind w:firstLineChars="0" w:firstLine="0"/>
        <w:jc w:val="center"/>
        <w:rPr>
          <w:rFonts w:ascii="仿宋_GB2312" w:eastAsia="仿宋_GB2312" w:hAnsi="仿宋_GB2312" w:cs="仿宋_GB2312"/>
          <w:kern w:val="2"/>
          <w:sz w:val="32"/>
          <w:szCs w:val="32"/>
          <w:lang w:val="en"/>
        </w:rPr>
      </w:pPr>
      <w:r>
        <w:rPr>
          <w:rFonts w:ascii="仿宋_GB2312" w:eastAsia="仿宋_GB2312" w:hAnsi="仿宋_GB2312" w:cs="仿宋_GB2312"/>
          <w:noProof/>
          <w:kern w:val="2"/>
          <w:sz w:val="32"/>
          <w:szCs w:val="32"/>
        </w:rPr>
        <w:lastRenderedPageBreak/>
        <w:drawing>
          <wp:inline distT="0" distB="0" distL="0" distR="0" wp14:anchorId="596902A3" wp14:editId="2C9719C8">
            <wp:extent cx="8826500" cy="4857750"/>
            <wp:effectExtent l="0" t="0" r="0" b="0"/>
            <wp:docPr id="24" name="图片 91" descr="22.防范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1" descr="22.防范机制（部门）"/>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82650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图24 </w:t>
      </w:r>
      <w:r>
        <w:rPr>
          <w:rFonts w:ascii="仿宋_GB2312" w:eastAsia="仿宋_GB2312" w:hAnsi="仿宋_GB2312" w:cs="仿宋_GB2312" w:hint="eastAsia"/>
          <w:b/>
          <w:bCs/>
          <w:sz w:val="32"/>
          <w:szCs w:val="32"/>
        </w:rPr>
        <w:t>水行政主管部门、流域管理机构</w:t>
      </w:r>
      <w:r>
        <w:rPr>
          <w:rFonts w:ascii="仿宋_GB2312" w:eastAsia="仿宋_GB2312" w:hAnsi="仿宋_GB2312" w:cs="仿宋_GB2312" w:hint="eastAsia"/>
          <w:b/>
          <w:bCs/>
          <w:kern w:val="2"/>
          <w:sz w:val="32"/>
          <w:szCs w:val="32"/>
        </w:rPr>
        <w:t>防范机制工作内容框架图</w:t>
      </w: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lastRenderedPageBreak/>
        <w:drawing>
          <wp:inline distT="0" distB="0" distL="0" distR="0" wp14:anchorId="3BC4DD15" wp14:editId="0A6236CA">
            <wp:extent cx="7118350" cy="4857750"/>
            <wp:effectExtent l="0" t="0" r="0" b="0"/>
            <wp:docPr id="25" name="图片 103" descr="23.处置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3" descr="23.处置机制（部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118350" cy="4857750"/>
                    </a:xfrm>
                    <a:prstGeom prst="rect">
                      <a:avLst/>
                    </a:prstGeom>
                    <a:noFill/>
                    <a:ln>
                      <a:noFill/>
                    </a:ln>
                  </pic:spPr>
                </pic:pic>
              </a:graphicData>
            </a:graphic>
          </wp:inline>
        </w:drawing>
      </w: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图25 </w:t>
      </w:r>
      <w:r>
        <w:rPr>
          <w:rFonts w:ascii="仿宋_GB2312" w:eastAsia="仿宋_GB2312" w:hAnsi="仿宋_GB2312" w:cs="仿宋_GB2312" w:hint="eastAsia"/>
          <w:b/>
          <w:bCs/>
          <w:sz w:val="32"/>
          <w:szCs w:val="32"/>
        </w:rPr>
        <w:t>水行政主管部门、流域管理机构</w:t>
      </w:r>
      <w:r>
        <w:rPr>
          <w:rFonts w:ascii="仿宋_GB2312" w:eastAsia="仿宋_GB2312" w:hAnsi="仿宋_GB2312" w:cs="仿宋_GB2312" w:hint="eastAsia"/>
          <w:b/>
          <w:bCs/>
          <w:kern w:val="2"/>
          <w:sz w:val="32"/>
          <w:szCs w:val="32"/>
        </w:rPr>
        <w:t>处置机制工作内容框架图</w:t>
      </w:r>
    </w:p>
    <w:p w:rsidR="007800EB" w:rsidRDefault="007800EB">
      <w:pPr>
        <w:pStyle w:val="a0"/>
        <w:ind w:firstLineChars="0" w:firstLine="0"/>
        <w:rPr>
          <w:rFonts w:ascii="仿宋_GB2312" w:eastAsia="仿宋_GB2312" w:hAnsi="仿宋_GB2312" w:cs="仿宋_GB2312"/>
          <w:kern w:val="2"/>
          <w:sz w:val="32"/>
          <w:szCs w:val="32"/>
        </w:rPr>
      </w:pP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kern w:val="2"/>
          <w:sz w:val="32"/>
          <w:szCs w:val="32"/>
        </w:rPr>
      </w:pPr>
      <w:r>
        <w:rPr>
          <w:rFonts w:ascii="仿宋_GB2312" w:eastAsia="仿宋_GB2312" w:hAnsi="仿宋_GB2312" w:cs="仿宋_GB2312" w:hint="eastAsia"/>
          <w:noProof/>
          <w:kern w:val="2"/>
          <w:sz w:val="32"/>
          <w:szCs w:val="32"/>
        </w:rPr>
        <w:drawing>
          <wp:inline distT="0" distB="0" distL="0" distR="0" wp14:anchorId="74DC93C9" wp14:editId="4D1E6CE5">
            <wp:extent cx="8864600" cy="3238500"/>
            <wp:effectExtent l="0" t="0" r="0" b="0"/>
            <wp:docPr id="26" name="图片 102" descr="24.责任机制（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 descr="24.责任机制（部门）"/>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864600" cy="3238500"/>
                    </a:xfrm>
                    <a:prstGeom prst="rect">
                      <a:avLst/>
                    </a:prstGeom>
                    <a:noFill/>
                    <a:ln>
                      <a:noFill/>
                    </a:ln>
                  </pic:spPr>
                </pic:pic>
              </a:graphicData>
            </a:graphic>
          </wp:inline>
        </w:drawing>
      </w:r>
    </w:p>
    <w:p w:rsidR="007800EB" w:rsidRDefault="007800EB">
      <w:pPr>
        <w:pStyle w:val="a0"/>
        <w:ind w:firstLineChars="0" w:firstLine="0"/>
        <w:rPr>
          <w:rFonts w:ascii="仿宋_GB2312" w:eastAsia="仿宋_GB2312" w:hAnsi="仿宋_GB2312" w:cs="仿宋_GB2312"/>
          <w:kern w:val="2"/>
          <w:sz w:val="32"/>
          <w:szCs w:val="32"/>
        </w:rPr>
      </w:pPr>
    </w:p>
    <w:p w:rsidR="007800EB" w:rsidRDefault="00D67590">
      <w:pPr>
        <w:pStyle w:val="a0"/>
        <w:ind w:firstLineChars="0" w:firstLine="0"/>
        <w:jc w:val="center"/>
        <w:rPr>
          <w:rFonts w:ascii="仿宋_GB2312" w:eastAsia="仿宋_GB2312" w:hAnsi="仿宋_GB2312" w:cs="仿宋_GB2312"/>
          <w:b/>
          <w:bCs/>
          <w:kern w:val="2"/>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b/>
          <w:bCs/>
          <w:kern w:val="2"/>
          <w:sz w:val="32"/>
          <w:szCs w:val="32"/>
        </w:rPr>
        <w:t xml:space="preserve">图26 </w:t>
      </w:r>
      <w:r>
        <w:rPr>
          <w:rFonts w:ascii="仿宋_GB2312" w:eastAsia="仿宋_GB2312" w:hAnsi="仿宋_GB2312" w:cs="仿宋_GB2312" w:hint="eastAsia"/>
          <w:b/>
          <w:bCs/>
          <w:sz w:val="32"/>
          <w:szCs w:val="32"/>
        </w:rPr>
        <w:t>水行政主管部门、流域管理机构</w:t>
      </w:r>
      <w:r>
        <w:rPr>
          <w:rFonts w:ascii="仿宋_GB2312" w:eastAsia="仿宋_GB2312" w:hAnsi="仿宋_GB2312" w:cs="仿宋_GB2312" w:hint="eastAsia"/>
          <w:b/>
          <w:bCs/>
          <w:kern w:val="2"/>
          <w:sz w:val="32"/>
          <w:szCs w:val="32"/>
        </w:rPr>
        <w:t>责任机制工作内容框架图</w:t>
      </w:r>
    </w:p>
    <w:p w:rsidR="007800EB" w:rsidRDefault="00D67590">
      <w:pPr>
        <w:overflowPunct w:val="0"/>
        <w:spacing w:line="600" w:lineRule="exact"/>
        <w:ind w:leftChars="580" w:left="1218" w:rightChars="580" w:right="1218"/>
        <w:jc w:val="center"/>
        <w:outlineLvl w:val="0"/>
        <w:rPr>
          <w:rFonts w:ascii="黑体" w:eastAsia="黑体" w:hAnsi="黑体" w:cs="黑体"/>
          <w:sz w:val="32"/>
          <w:szCs w:val="32"/>
        </w:rPr>
      </w:pPr>
      <w:bookmarkStart w:id="132" w:name="_Toc10642"/>
      <w:bookmarkStart w:id="133" w:name="_Toc30322"/>
      <w:r>
        <w:rPr>
          <w:rFonts w:ascii="黑体" w:eastAsia="黑体" w:hAnsi="黑体" w:cs="黑体" w:hint="eastAsia"/>
          <w:sz w:val="32"/>
          <w:szCs w:val="32"/>
        </w:rPr>
        <w:lastRenderedPageBreak/>
        <w:t>第六章  工作要求</w:t>
      </w:r>
      <w:bookmarkEnd w:id="132"/>
    </w:p>
    <w:p w:rsidR="007800EB" w:rsidRDefault="007800EB">
      <w:pPr>
        <w:spacing w:line="600" w:lineRule="exact"/>
        <w:ind w:firstLineChars="200" w:firstLine="640"/>
        <w:jc w:val="left"/>
        <w:rPr>
          <w:rFonts w:ascii="黑体" w:eastAsia="黑体" w:hAnsi="黑体" w:cs="黑体"/>
          <w:sz w:val="32"/>
          <w:szCs w:val="28"/>
        </w:rPr>
      </w:pPr>
    </w:p>
    <w:p w:rsidR="007800EB" w:rsidRDefault="00D67590">
      <w:pPr>
        <w:spacing w:line="600" w:lineRule="exact"/>
        <w:ind w:firstLineChars="200" w:firstLine="640"/>
        <w:jc w:val="left"/>
        <w:rPr>
          <w:rFonts w:ascii="黑体" w:eastAsia="黑体" w:hAnsi="黑体" w:cs="黑体"/>
          <w:sz w:val="32"/>
          <w:szCs w:val="28"/>
        </w:rPr>
      </w:pPr>
      <w:r>
        <w:rPr>
          <w:rFonts w:ascii="黑体" w:eastAsia="黑体" w:hAnsi="黑体" w:cs="黑体" w:hint="eastAsia"/>
          <w:sz w:val="32"/>
          <w:szCs w:val="28"/>
        </w:rPr>
        <w:t>1 强化组织领导</w:t>
      </w:r>
    </w:p>
    <w:p w:rsidR="007800EB" w:rsidRDefault="00D67590">
      <w:pPr>
        <w:spacing w:line="60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各地区各单位要充分认识“六项机制”在风险防控、隐患整治、事故防范工作中的重要作用，以全覆盖为目标，制订“六项机制”建设实施计划，组织所属各级、各类生产经营单位认真组织实施。主要负责同志要亲自组织协调，加强监督指导，其他负责同志抓好分管领域落实工作，综合监管和专业监管部门各司其职、密切配合，形成一级抓一级、层层抓落实的工作格局。</w:t>
      </w:r>
    </w:p>
    <w:p w:rsidR="007800EB" w:rsidRDefault="00D67590">
      <w:pPr>
        <w:spacing w:line="600" w:lineRule="exact"/>
        <w:ind w:firstLineChars="200" w:firstLine="640"/>
        <w:rPr>
          <w:rFonts w:ascii="黑体" w:eastAsia="黑体" w:hAnsi="黑体" w:cs="黑体"/>
          <w:sz w:val="32"/>
          <w:szCs w:val="28"/>
        </w:rPr>
      </w:pPr>
      <w:r>
        <w:rPr>
          <w:rFonts w:ascii="黑体" w:eastAsia="黑体" w:hAnsi="黑体" w:cs="黑体" w:hint="eastAsia"/>
          <w:sz w:val="32"/>
          <w:szCs w:val="28"/>
        </w:rPr>
        <w:t>2 加强督导帮扶</w:t>
      </w:r>
    </w:p>
    <w:p w:rsidR="007800EB" w:rsidRDefault="00D67590">
      <w:pPr>
        <w:spacing w:line="60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各地区各单位要分级分类组织开展“六项机制”培训，强化对水利生产经营单位主要负责人的安全生产培训。要健全“多通报、多发督促函、多暗访”工作机制，强化警示通报、约谈曝光、挂牌督办、督促整改和工作建议等手段运用，对“六项机制”工作推进不力的地区和单位及时督促整改。要结合实际建立健全安全生产专家库，充分发挥行业专家作用，对重点地区、重点单位开展危险源辨识管控、隐患排查治理、应急处置演练等专家指导服务和监督检查。</w:t>
      </w:r>
    </w:p>
    <w:p w:rsidR="007800EB" w:rsidRDefault="00D67590">
      <w:pPr>
        <w:spacing w:line="600" w:lineRule="exact"/>
        <w:ind w:firstLineChars="200" w:firstLine="640"/>
        <w:jc w:val="left"/>
        <w:rPr>
          <w:rFonts w:ascii="黑体" w:eastAsia="黑体" w:hAnsi="黑体" w:cs="黑体"/>
          <w:sz w:val="32"/>
          <w:szCs w:val="28"/>
        </w:rPr>
      </w:pPr>
      <w:r>
        <w:rPr>
          <w:rFonts w:ascii="黑体" w:eastAsia="黑体" w:hAnsi="黑体" w:cs="黑体" w:hint="eastAsia"/>
          <w:sz w:val="32"/>
          <w:szCs w:val="28"/>
        </w:rPr>
        <w:t>3 健全奖惩机制</w:t>
      </w:r>
    </w:p>
    <w:p w:rsidR="007800EB" w:rsidRDefault="00D67590">
      <w:pPr>
        <w:spacing w:line="600" w:lineRule="exact"/>
        <w:ind w:firstLineChars="200" w:firstLine="640"/>
        <w:jc w:val="left"/>
        <w:rPr>
          <w:rFonts w:ascii="仿宋_GB2312" w:eastAsia="仿宋_GB2312" w:hAnsi="仿宋_GB2312" w:cs="仿宋_GB2312"/>
          <w:sz w:val="32"/>
          <w:szCs w:val="28"/>
        </w:rPr>
      </w:pPr>
      <w:r>
        <w:rPr>
          <w:rFonts w:ascii="仿宋_GB2312" w:eastAsia="仿宋_GB2312" w:hAnsi="仿宋_GB2312" w:cs="仿宋_GB2312" w:hint="eastAsia"/>
          <w:sz w:val="32"/>
          <w:szCs w:val="28"/>
        </w:rPr>
        <w:t>各地区各单位要将推动“六项机制”落地见效情况作为落实安全生产责任制的重要内容，纳入安全生产考核、评优评先等工作，健全“六项机制”激励约束机制，对落实到位、</w:t>
      </w:r>
      <w:r>
        <w:rPr>
          <w:rFonts w:ascii="仿宋_GB2312" w:eastAsia="仿宋_GB2312" w:hAnsi="仿宋_GB2312" w:cs="仿宋_GB2312" w:hint="eastAsia"/>
          <w:sz w:val="32"/>
          <w:szCs w:val="28"/>
        </w:rPr>
        <w:lastRenderedPageBreak/>
        <w:t>积极作为的典型给予激励，对工作推进不力、责任措施不落实、整改不力的追究责任，对违法违规行为要依法依规严肃查处。</w:t>
      </w:r>
    </w:p>
    <w:p w:rsidR="007800EB" w:rsidRDefault="007800EB">
      <w:pPr>
        <w:pStyle w:val="a0"/>
        <w:spacing w:line="600" w:lineRule="exact"/>
        <w:ind w:firstLine="640"/>
        <w:rPr>
          <w:rFonts w:ascii="仿宋_GB2312" w:eastAsia="仿宋_GB2312" w:hAnsi="仿宋_GB2312" w:cs="仿宋_GB2312"/>
          <w:kern w:val="2"/>
          <w:sz w:val="32"/>
          <w:szCs w:val="32"/>
          <w:lang w:bidi="ar"/>
        </w:rPr>
      </w:pPr>
    </w:p>
    <w:bookmarkEnd w:id="103"/>
    <w:bookmarkEnd w:id="133"/>
    <w:p w:rsidR="007800EB" w:rsidRDefault="007800EB">
      <w:pPr>
        <w:pStyle w:val="a0"/>
        <w:spacing w:line="600" w:lineRule="exact"/>
        <w:outlineLvl w:val="0"/>
      </w:pPr>
    </w:p>
    <w:p w:rsidR="007800EB" w:rsidRDefault="00D67590">
      <w:pPr>
        <w:tabs>
          <w:tab w:val="right" w:leader="dot" w:pos="13958"/>
        </w:tabs>
        <w:spacing w:line="600" w:lineRule="exact"/>
        <w:jc w:val="left"/>
        <w:rPr>
          <w:rFonts w:ascii="黑体" w:eastAsia="黑体" w:hAnsi="黑体" w:cs="黑体"/>
          <w:bCs/>
          <w:kern w:val="0"/>
          <w:sz w:val="32"/>
          <w:szCs w:val="32"/>
        </w:rPr>
      </w:pPr>
      <w:r>
        <w:rPr>
          <w:rFonts w:ascii="仿宋_GB2312" w:eastAsia="仿宋_GB2312" w:hAnsi="仿宋_GB2312" w:cs="仿宋_GB2312"/>
          <w:b/>
          <w:bCs/>
          <w:sz w:val="32"/>
          <w:szCs w:val="32"/>
        </w:rPr>
        <w:br w:type="page"/>
      </w:r>
      <w:bookmarkStart w:id="134" w:name="_Toc6834"/>
      <w:r>
        <w:rPr>
          <w:rFonts w:ascii="黑体" w:eastAsia="黑体" w:hAnsi="黑体" w:cs="黑体" w:hint="eastAsia"/>
          <w:bCs/>
          <w:kern w:val="0"/>
          <w:sz w:val="32"/>
          <w:szCs w:val="32"/>
        </w:rPr>
        <w:lastRenderedPageBreak/>
        <w:t>附件</w:t>
      </w:r>
    </w:p>
    <w:p w:rsidR="007800EB" w:rsidRDefault="007800EB">
      <w:pPr>
        <w:pStyle w:val="a0"/>
      </w:pPr>
    </w:p>
    <w:p w:rsidR="007800EB" w:rsidRDefault="00D67590">
      <w:pPr>
        <w:tabs>
          <w:tab w:val="right" w:leader="dot" w:pos="13958"/>
        </w:tabs>
        <w:jc w:val="center"/>
        <w:rPr>
          <w:rFonts w:ascii="方正小标宋简体" w:eastAsia="方正小标宋简体" w:hAnsi="方正小标宋简体" w:cs="方正小标宋简体"/>
          <w:bCs/>
          <w:kern w:val="0"/>
          <w:sz w:val="44"/>
          <w:szCs w:val="44"/>
        </w:rPr>
      </w:pPr>
      <w:r>
        <w:rPr>
          <w:rFonts w:ascii="方正小标宋简体" w:eastAsia="方正小标宋简体" w:hAnsi="方正小标宋简体" w:cs="方正小标宋简体" w:hint="eastAsia"/>
          <w:bCs/>
          <w:kern w:val="0"/>
          <w:sz w:val="44"/>
          <w:szCs w:val="44"/>
        </w:rPr>
        <w:t>“六项机制”清单表格和图表示例</w:t>
      </w:r>
    </w:p>
    <w:p w:rsidR="007800EB" w:rsidRDefault="007800EB">
      <w:pPr>
        <w:widowControl/>
        <w:jc w:val="center"/>
        <w:textAlignment w:val="center"/>
        <w:rPr>
          <w:rFonts w:ascii="宋体" w:hAnsi="宋体" w:cs="宋体"/>
          <w:b/>
          <w:bCs/>
          <w:color w:val="000000"/>
          <w:sz w:val="32"/>
          <w:szCs w:val="32"/>
        </w:rPr>
      </w:pPr>
      <w:bookmarkStart w:id="135" w:name="_Toc21605"/>
      <w:bookmarkStart w:id="136" w:name="_Toc11721"/>
      <w:bookmarkEnd w:id="134"/>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w:t>
      </w:r>
      <w:bookmarkEnd w:id="135"/>
      <w:r>
        <w:rPr>
          <w:rFonts w:ascii="宋体" w:hAnsi="宋体" w:cs="宋体" w:hint="eastAsia"/>
          <w:b/>
          <w:bCs/>
          <w:color w:val="000000"/>
          <w:sz w:val="32"/>
          <w:szCs w:val="32"/>
        </w:rPr>
        <w:t>1</w:t>
      </w:r>
      <w:r>
        <w:rPr>
          <w:rFonts w:ascii="黑体" w:eastAsia="黑体" w:hAnsi="黑体" w:cs="黑体" w:hint="eastAsia"/>
          <w:b/>
          <w:bCs/>
          <w:color w:val="000000"/>
          <w:sz w:val="32"/>
          <w:szCs w:val="32"/>
        </w:rPr>
        <w:t xml:space="preserve"> </w:t>
      </w:r>
      <w:r>
        <w:rPr>
          <w:rFonts w:ascii="宋体" w:hAnsi="宋体" w:cs="宋体" w:hint="eastAsia"/>
          <w:b/>
          <w:bCs/>
          <w:color w:val="000000"/>
          <w:sz w:val="32"/>
          <w:szCs w:val="32"/>
        </w:rPr>
        <w:t>危险源清单</w:t>
      </w:r>
      <w:bookmarkEnd w:id="136"/>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775"/>
        <w:gridCol w:w="849"/>
        <w:gridCol w:w="1162"/>
        <w:gridCol w:w="1930"/>
        <w:gridCol w:w="1188"/>
        <w:gridCol w:w="2018"/>
        <w:gridCol w:w="1419"/>
        <w:gridCol w:w="1116"/>
      </w:tblGrid>
      <w:tr w:rsidR="007800EB">
        <w:trPr>
          <w:trHeight w:val="624"/>
          <w:tblHeader/>
          <w:jc w:val="center"/>
        </w:trPr>
        <w:tc>
          <w:tcPr>
            <w:tcW w:w="775"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序号</w:t>
            </w:r>
          </w:p>
        </w:tc>
        <w:tc>
          <w:tcPr>
            <w:tcW w:w="849"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类别</w:t>
            </w:r>
          </w:p>
        </w:tc>
        <w:tc>
          <w:tcPr>
            <w:tcW w:w="1162"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项目</w:t>
            </w:r>
          </w:p>
        </w:tc>
        <w:tc>
          <w:tcPr>
            <w:tcW w:w="1930"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危险源名称</w:t>
            </w:r>
          </w:p>
        </w:tc>
        <w:tc>
          <w:tcPr>
            <w:tcW w:w="1188"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事故诱因</w:t>
            </w:r>
          </w:p>
        </w:tc>
        <w:tc>
          <w:tcPr>
            <w:tcW w:w="2018"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可能导致的后果</w:t>
            </w:r>
          </w:p>
        </w:tc>
        <w:tc>
          <w:tcPr>
            <w:tcW w:w="1419"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危险源级别</w:t>
            </w:r>
          </w:p>
        </w:tc>
        <w:tc>
          <w:tcPr>
            <w:tcW w:w="1116"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位置</w:t>
            </w:r>
          </w:p>
        </w:tc>
      </w:tr>
      <w:tr w:rsidR="007800EB">
        <w:trPr>
          <w:trHeight w:val="532"/>
          <w:tblHeader/>
          <w:jc w:val="center"/>
        </w:trPr>
        <w:tc>
          <w:tcPr>
            <w:tcW w:w="775" w:type="dxa"/>
            <w:vMerge/>
            <w:vAlign w:val="center"/>
          </w:tcPr>
          <w:p w:rsidR="007800EB" w:rsidRDefault="007800EB">
            <w:pPr>
              <w:pStyle w:val="a6"/>
              <w:snapToGrid w:val="0"/>
              <w:rPr>
                <w:rFonts w:ascii="仿宋_GB2312" w:eastAsia="仿宋_GB2312" w:hAnsi="仿宋_GB2312" w:cs="仿宋_GB2312"/>
                <w:sz w:val="24"/>
              </w:rPr>
            </w:pPr>
          </w:p>
        </w:tc>
        <w:tc>
          <w:tcPr>
            <w:tcW w:w="849" w:type="dxa"/>
            <w:vMerge/>
            <w:vAlign w:val="center"/>
          </w:tcPr>
          <w:p w:rsidR="007800EB" w:rsidRDefault="007800EB">
            <w:pPr>
              <w:pStyle w:val="a6"/>
              <w:snapToGrid w:val="0"/>
              <w:rPr>
                <w:rFonts w:ascii="仿宋_GB2312" w:eastAsia="仿宋_GB2312" w:hAnsi="仿宋_GB2312" w:cs="仿宋_GB2312"/>
                <w:sz w:val="24"/>
              </w:rPr>
            </w:pPr>
          </w:p>
        </w:tc>
        <w:tc>
          <w:tcPr>
            <w:tcW w:w="1162" w:type="dxa"/>
            <w:vMerge/>
            <w:vAlign w:val="center"/>
          </w:tcPr>
          <w:p w:rsidR="007800EB" w:rsidRDefault="007800EB">
            <w:pPr>
              <w:pStyle w:val="a6"/>
              <w:snapToGrid w:val="0"/>
              <w:rPr>
                <w:rFonts w:ascii="仿宋_GB2312" w:eastAsia="仿宋_GB2312" w:hAnsi="仿宋_GB2312" w:cs="仿宋_GB2312"/>
                <w:sz w:val="24"/>
              </w:rPr>
            </w:pPr>
          </w:p>
        </w:tc>
        <w:tc>
          <w:tcPr>
            <w:tcW w:w="1930" w:type="dxa"/>
            <w:vMerge/>
            <w:vAlign w:val="center"/>
          </w:tcPr>
          <w:p w:rsidR="007800EB" w:rsidRDefault="007800EB">
            <w:pPr>
              <w:pStyle w:val="a6"/>
              <w:snapToGrid w:val="0"/>
              <w:rPr>
                <w:rFonts w:ascii="仿宋_GB2312" w:eastAsia="仿宋_GB2312" w:hAnsi="仿宋_GB2312" w:cs="仿宋_GB2312"/>
                <w:sz w:val="24"/>
              </w:rPr>
            </w:pPr>
          </w:p>
        </w:tc>
        <w:tc>
          <w:tcPr>
            <w:tcW w:w="1188" w:type="dxa"/>
            <w:vMerge/>
            <w:vAlign w:val="center"/>
          </w:tcPr>
          <w:p w:rsidR="007800EB" w:rsidRDefault="007800EB">
            <w:pPr>
              <w:pStyle w:val="a6"/>
              <w:snapToGrid w:val="0"/>
              <w:rPr>
                <w:rFonts w:ascii="仿宋_GB2312" w:eastAsia="仿宋_GB2312" w:hAnsi="仿宋_GB2312" w:cs="仿宋_GB2312"/>
                <w:sz w:val="24"/>
              </w:rPr>
            </w:pPr>
          </w:p>
        </w:tc>
        <w:tc>
          <w:tcPr>
            <w:tcW w:w="2018" w:type="dxa"/>
            <w:vMerge/>
            <w:vAlign w:val="center"/>
          </w:tcPr>
          <w:p w:rsidR="007800EB" w:rsidRDefault="007800EB">
            <w:pPr>
              <w:pStyle w:val="a6"/>
              <w:snapToGrid w:val="0"/>
              <w:rPr>
                <w:rFonts w:ascii="仿宋_GB2312" w:eastAsia="仿宋_GB2312" w:hAnsi="仿宋_GB2312" w:cs="仿宋_GB2312"/>
                <w:sz w:val="24"/>
              </w:rPr>
            </w:pPr>
          </w:p>
        </w:tc>
        <w:tc>
          <w:tcPr>
            <w:tcW w:w="1419" w:type="dxa"/>
            <w:vMerge/>
            <w:vAlign w:val="center"/>
          </w:tcPr>
          <w:p w:rsidR="007800EB" w:rsidRDefault="007800EB">
            <w:pPr>
              <w:pStyle w:val="a6"/>
              <w:snapToGrid w:val="0"/>
              <w:rPr>
                <w:rFonts w:ascii="仿宋_GB2312" w:eastAsia="仿宋_GB2312" w:hAnsi="仿宋_GB2312" w:cs="仿宋_GB2312"/>
                <w:sz w:val="24"/>
              </w:rPr>
            </w:pPr>
          </w:p>
        </w:tc>
        <w:tc>
          <w:tcPr>
            <w:tcW w:w="1116" w:type="dxa"/>
            <w:vMerge/>
            <w:vAlign w:val="center"/>
          </w:tcPr>
          <w:p w:rsidR="007800EB" w:rsidRDefault="007800EB">
            <w:pPr>
              <w:pStyle w:val="a6"/>
              <w:snapToGrid w:val="0"/>
              <w:rPr>
                <w:rFonts w:ascii="仿宋_GB2312" w:eastAsia="仿宋_GB2312" w:hAnsi="仿宋_GB2312" w:cs="仿宋_GB2312"/>
                <w:sz w:val="24"/>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624"/>
          <w:jc w:val="center"/>
        </w:trPr>
        <w:tc>
          <w:tcPr>
            <w:tcW w:w="77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849"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162" w:type="dxa"/>
            <w:vAlign w:val="center"/>
          </w:tcPr>
          <w:p w:rsidR="007800EB" w:rsidRDefault="007800EB">
            <w:pPr>
              <w:widowControl/>
              <w:overflowPunct w:val="0"/>
              <w:adjustRightInd w:val="0"/>
              <w:snapToGrid w:val="0"/>
              <w:jc w:val="center"/>
              <w:rPr>
                <w:rFonts w:ascii="宋体" w:hAnsi="宋体" w:cs="宋体"/>
                <w:kern w:val="0"/>
                <w:szCs w:val="21"/>
              </w:rPr>
            </w:pPr>
          </w:p>
        </w:tc>
        <w:tc>
          <w:tcPr>
            <w:tcW w:w="193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201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19" w:type="dxa"/>
            <w:vAlign w:val="center"/>
          </w:tcPr>
          <w:p w:rsidR="007800EB" w:rsidRDefault="007800EB">
            <w:pPr>
              <w:widowControl/>
              <w:overflowPunct w:val="0"/>
              <w:adjustRightInd w:val="0"/>
              <w:snapToGrid w:val="0"/>
              <w:jc w:val="center"/>
              <w:rPr>
                <w:rFonts w:ascii="宋体" w:hAnsi="宋体" w:cs="宋体"/>
                <w:kern w:val="0"/>
                <w:szCs w:val="21"/>
              </w:rPr>
            </w:pPr>
          </w:p>
        </w:tc>
        <w:tc>
          <w:tcPr>
            <w:tcW w:w="1116" w:type="dxa"/>
            <w:vAlign w:val="center"/>
          </w:tcPr>
          <w:p w:rsidR="007800EB" w:rsidRDefault="007800EB">
            <w:pPr>
              <w:widowControl/>
              <w:overflowPunct w:val="0"/>
              <w:adjustRightInd w:val="0"/>
              <w:snapToGrid w:val="0"/>
              <w:jc w:val="center"/>
              <w:rPr>
                <w:rFonts w:ascii="宋体" w:hAnsi="宋体" w:cs="宋体"/>
                <w:kern w:val="0"/>
                <w:szCs w:val="21"/>
              </w:rPr>
            </w:pPr>
          </w:p>
        </w:tc>
      </w:tr>
    </w:tbl>
    <w:p w:rsidR="007800EB" w:rsidRDefault="00D67590">
      <w:pPr>
        <w:overflowPunct w:val="0"/>
        <w:jc w:val="left"/>
        <w:rPr>
          <w:rFonts w:ascii="仿宋_GB2312" w:eastAsia="仿宋_GB2312" w:hAnsi="仿宋_GB2312" w:cs="仿宋_GB2312"/>
          <w:snapToGrid w:val="0"/>
          <w:sz w:val="32"/>
          <w:szCs w:val="32"/>
        </w:rPr>
        <w:sectPr w:rsidR="007800EB">
          <w:pgSz w:w="11906" w:h="16838"/>
          <w:pgMar w:top="1440" w:right="1803" w:bottom="1440" w:left="1803"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b/>
          <w:bCs/>
          <w:color w:val="000000"/>
          <w:sz w:val="30"/>
          <w:szCs w:val="30"/>
        </w:rPr>
      </w:pPr>
      <w:bookmarkStart w:id="137" w:name="_Toc31332"/>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A.2</w:t>
      </w:r>
      <w:r>
        <w:rPr>
          <w:rFonts w:ascii="黑体" w:eastAsia="黑体" w:hAnsi="黑体" w:cs="黑体" w:hint="eastAsia"/>
          <w:b/>
          <w:bCs/>
          <w:color w:val="000000"/>
          <w:sz w:val="32"/>
          <w:szCs w:val="32"/>
        </w:rPr>
        <w:t xml:space="preserve"> </w:t>
      </w:r>
      <w:bookmarkEnd w:id="137"/>
      <w:r>
        <w:rPr>
          <w:rFonts w:ascii="宋体" w:hAnsi="宋体" w:cs="宋体" w:hint="eastAsia"/>
          <w:b/>
          <w:bCs/>
          <w:color w:val="000000"/>
          <w:sz w:val="32"/>
          <w:szCs w:val="32"/>
        </w:rPr>
        <w:t>一般危险源风险评价打分表</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W w:w="0" w:type="auto"/>
        <w:tblInd w:w="-262" w:type="dxa"/>
        <w:tblLayout w:type="fixed"/>
        <w:tblLook w:val="04A0" w:firstRow="1" w:lastRow="0" w:firstColumn="1" w:lastColumn="0" w:noHBand="0" w:noVBand="1"/>
      </w:tblPr>
      <w:tblGrid>
        <w:gridCol w:w="740"/>
        <w:gridCol w:w="850"/>
        <w:gridCol w:w="850"/>
        <w:gridCol w:w="1522"/>
        <w:gridCol w:w="2220"/>
        <w:gridCol w:w="1984"/>
        <w:gridCol w:w="1417"/>
        <w:gridCol w:w="850"/>
        <w:gridCol w:w="850"/>
        <w:gridCol w:w="850"/>
        <w:gridCol w:w="850"/>
        <w:gridCol w:w="850"/>
        <w:gridCol w:w="850"/>
      </w:tblGrid>
      <w:tr w:rsidR="007800EB">
        <w:trPr>
          <w:cantSplit/>
          <w:trHeight w:val="624"/>
          <w:tblHeader/>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序号</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类别</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项目</w:t>
            </w: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一般危险源</w:t>
            </w:r>
          </w:p>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名称</w:t>
            </w: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事故诱因</w:t>
            </w: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可能导致的后果</w:t>
            </w: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风险评价 方法</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L值</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E值</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S值</w:t>
            </w:r>
          </w:p>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或</w:t>
            </w:r>
          </w:p>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C值</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R值</w:t>
            </w:r>
          </w:p>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或</w:t>
            </w:r>
          </w:p>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D值</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kern w:val="0"/>
                <w:sz w:val="24"/>
                <w:lang w:bidi="ar"/>
              </w:rPr>
            </w:pPr>
            <w:r>
              <w:rPr>
                <w:rFonts w:ascii="黑体" w:eastAsia="黑体" w:hAnsi="黑体" w:cs="黑体" w:hint="eastAsia"/>
                <w:color w:val="000000"/>
                <w:kern w:val="0"/>
                <w:sz w:val="24"/>
                <w:lang w:bidi="ar"/>
              </w:rPr>
              <w:t>风险等级</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rPr>
                <w:rFonts w:ascii="黑体" w:eastAsia="黑体" w:hAnsi="黑体" w:cs="黑体"/>
                <w:color w:val="000000"/>
                <w:sz w:val="24"/>
              </w:rPr>
            </w:pPr>
            <w:r>
              <w:rPr>
                <w:rFonts w:ascii="黑体" w:eastAsia="黑体" w:hAnsi="黑体" w:cs="黑体" w:hint="eastAsia"/>
                <w:color w:val="000000"/>
                <w:kern w:val="0"/>
                <w:sz w:val="24"/>
                <w:lang w:bidi="ar"/>
              </w:rPr>
              <w:t>备注</w:t>
            </w: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r w:rsidR="007800EB">
        <w:trPr>
          <w:cantSplit/>
          <w:trHeight w:val="624"/>
        </w:trPr>
        <w:tc>
          <w:tcPr>
            <w:tcW w:w="740" w:type="dxa"/>
            <w:tcBorders>
              <w:top w:val="single" w:sz="8" w:space="0" w:color="000000"/>
              <w:left w:val="single" w:sz="8" w:space="0" w:color="000000"/>
              <w:bottom w:val="single" w:sz="8" w:space="0" w:color="000000"/>
              <w:right w:val="single" w:sz="8" w:space="0" w:color="000000"/>
            </w:tcBorders>
            <w:vAlign w:val="center"/>
          </w:tcPr>
          <w:p w:rsidR="007800EB" w:rsidRDefault="00D67590">
            <w:pPr>
              <w:widowControl/>
              <w:overflowPunct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仿宋_GB2312" w:eastAsia="仿宋_GB2312" w:hAnsi="仿宋_GB2312" w:cs="仿宋_GB2312"/>
                <w:color w:val="000000"/>
                <w:sz w:val="24"/>
              </w:rPr>
            </w:pPr>
          </w:p>
        </w:tc>
        <w:tc>
          <w:tcPr>
            <w:tcW w:w="1522"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222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widowControl/>
              <w:overflowPunct w:val="0"/>
              <w:jc w:val="center"/>
              <w:textAlignment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800EB" w:rsidRDefault="007800EB">
            <w:pPr>
              <w:overflowPunct w:val="0"/>
              <w:jc w:val="center"/>
              <w:rPr>
                <w:rFonts w:ascii="宋体" w:hAnsi="宋体" w:cs="宋体"/>
                <w:color w:val="000000"/>
                <w:szCs w:val="21"/>
              </w:rPr>
            </w:pPr>
          </w:p>
        </w:tc>
      </w:tr>
    </w:tbl>
    <w:p w:rsidR="007800EB" w:rsidRDefault="00D67590">
      <w:pPr>
        <w:overflowPunct w:val="0"/>
        <w:jc w:val="left"/>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评价人：                          岗位：                           日期：    年  月  日</w:t>
      </w:r>
    </w:p>
    <w:p w:rsidR="007800EB" w:rsidRDefault="007800EB">
      <w:pPr>
        <w:widowControl/>
        <w:overflowPunct w:val="0"/>
        <w:ind w:firstLineChars="300" w:firstLine="720"/>
        <w:textAlignment w:val="center"/>
        <w:rPr>
          <w:rFonts w:ascii="宋体" w:hAnsi="宋体" w:cs="宋体"/>
          <w:color w:val="000000"/>
          <w:kern w:val="0"/>
          <w:sz w:val="24"/>
          <w:lang w:bidi="ar"/>
        </w:rPr>
      </w:pPr>
    </w:p>
    <w:p w:rsidR="007800EB" w:rsidRDefault="007800EB">
      <w:pPr>
        <w:widowControl/>
        <w:overflowPunct w:val="0"/>
        <w:ind w:firstLineChars="300" w:firstLine="720"/>
        <w:textAlignment w:val="center"/>
        <w:rPr>
          <w:rFonts w:ascii="宋体" w:hAnsi="宋体" w:cs="宋体"/>
          <w:color w:val="000000"/>
          <w:kern w:val="0"/>
          <w:sz w:val="24"/>
          <w:highlight w:val="red"/>
          <w:lang w:bidi="ar"/>
        </w:rPr>
        <w:sectPr w:rsidR="007800EB">
          <w:pgSz w:w="16838" w:h="11906" w:orient="landscape"/>
          <w:pgMar w:top="1803" w:right="1440" w:bottom="1803" w:left="1440" w:header="851" w:footer="992" w:gutter="0"/>
          <w:cols w:space="720"/>
          <w:docGrid w:type="lines" w:linePitch="319"/>
        </w:sectPr>
      </w:pPr>
    </w:p>
    <w:p w:rsidR="007800EB" w:rsidRDefault="007800EB">
      <w:pPr>
        <w:widowControl/>
        <w:jc w:val="center"/>
        <w:textAlignment w:val="center"/>
        <w:outlineLvl w:val="1"/>
        <w:rPr>
          <w:rFonts w:ascii="宋体" w:hAnsi="宋体" w:cs="宋体"/>
          <w:b/>
          <w:bCs/>
          <w:color w:val="000000"/>
          <w:sz w:val="30"/>
          <w:szCs w:val="30"/>
        </w:rPr>
      </w:pPr>
      <w:bookmarkStart w:id="138" w:name="_Toc25013"/>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A.3</w:t>
      </w:r>
      <w:r>
        <w:rPr>
          <w:rFonts w:ascii="黑体" w:eastAsia="黑体" w:hAnsi="黑体" w:cs="黑体" w:hint="eastAsia"/>
          <w:b/>
          <w:bCs/>
          <w:color w:val="000000"/>
          <w:sz w:val="32"/>
          <w:szCs w:val="32"/>
        </w:rPr>
        <w:t xml:space="preserve"> </w:t>
      </w:r>
      <w:r>
        <w:rPr>
          <w:rFonts w:ascii="宋体" w:hAnsi="宋体" w:cs="宋体" w:hint="eastAsia"/>
          <w:b/>
          <w:bCs/>
          <w:color w:val="000000"/>
          <w:sz w:val="32"/>
          <w:szCs w:val="32"/>
        </w:rPr>
        <w:t>危险源监控清单</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738"/>
        <w:gridCol w:w="850"/>
        <w:gridCol w:w="838"/>
        <w:gridCol w:w="1525"/>
        <w:gridCol w:w="1437"/>
        <w:gridCol w:w="1263"/>
        <w:gridCol w:w="1487"/>
        <w:gridCol w:w="1488"/>
        <w:gridCol w:w="1450"/>
        <w:gridCol w:w="1437"/>
        <w:gridCol w:w="2162"/>
      </w:tblGrid>
      <w:tr w:rsidR="007800EB">
        <w:trPr>
          <w:trHeight w:val="669"/>
          <w:tblHeader/>
          <w:jc w:val="center"/>
        </w:trPr>
        <w:tc>
          <w:tcPr>
            <w:tcW w:w="738"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序号</w:t>
            </w:r>
          </w:p>
        </w:tc>
        <w:tc>
          <w:tcPr>
            <w:tcW w:w="850"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类别</w:t>
            </w:r>
          </w:p>
        </w:tc>
        <w:tc>
          <w:tcPr>
            <w:tcW w:w="838"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项目</w:t>
            </w:r>
          </w:p>
        </w:tc>
        <w:tc>
          <w:tcPr>
            <w:tcW w:w="1525"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危险源名称</w:t>
            </w:r>
          </w:p>
        </w:tc>
        <w:tc>
          <w:tcPr>
            <w:tcW w:w="1437"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危险源级别</w:t>
            </w:r>
          </w:p>
        </w:tc>
        <w:tc>
          <w:tcPr>
            <w:tcW w:w="1263"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风险等级</w:t>
            </w:r>
          </w:p>
        </w:tc>
        <w:tc>
          <w:tcPr>
            <w:tcW w:w="5862" w:type="dxa"/>
            <w:gridSpan w:val="4"/>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监测方式及频次</w:t>
            </w:r>
          </w:p>
        </w:tc>
        <w:tc>
          <w:tcPr>
            <w:tcW w:w="2162"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较大及以上风险</w:t>
            </w:r>
          </w:p>
          <w:p w:rsidR="007800EB" w:rsidRDefault="00D67590">
            <w:pPr>
              <w:widowControl/>
              <w:overflowPunct w:val="0"/>
              <w:adjustRightInd w:val="0"/>
              <w:snapToGrid w:val="0"/>
              <w:jc w:val="center"/>
              <w:rPr>
                <w:rFonts w:ascii="仿宋_GB2312" w:eastAsia="仿宋_GB2312" w:hAnsi="仿宋_GB2312" w:cs="仿宋_GB2312"/>
                <w:kern w:val="0"/>
                <w:sz w:val="24"/>
              </w:rPr>
            </w:pPr>
            <w:r>
              <w:rPr>
                <w:rFonts w:ascii="黑体" w:eastAsia="黑体" w:hAnsi="黑体" w:cs="黑体" w:hint="eastAsia"/>
                <w:kern w:val="0"/>
                <w:sz w:val="24"/>
              </w:rPr>
              <w:t>危险源预警条件</w:t>
            </w:r>
          </w:p>
        </w:tc>
      </w:tr>
      <w:tr w:rsidR="007800EB">
        <w:trPr>
          <w:trHeight w:val="604"/>
          <w:tblHeader/>
          <w:jc w:val="center"/>
        </w:trPr>
        <w:tc>
          <w:tcPr>
            <w:tcW w:w="738" w:type="dxa"/>
            <w:vMerge/>
            <w:vAlign w:val="center"/>
          </w:tcPr>
          <w:p w:rsidR="007800EB" w:rsidRDefault="007800EB">
            <w:pPr>
              <w:pStyle w:val="a6"/>
              <w:snapToGrid w:val="0"/>
              <w:rPr>
                <w:rFonts w:ascii="黑体" w:eastAsia="黑体" w:hAnsi="黑体" w:cs="黑体"/>
                <w:sz w:val="24"/>
              </w:rPr>
            </w:pPr>
          </w:p>
        </w:tc>
        <w:tc>
          <w:tcPr>
            <w:tcW w:w="850" w:type="dxa"/>
            <w:vMerge/>
            <w:vAlign w:val="center"/>
          </w:tcPr>
          <w:p w:rsidR="007800EB" w:rsidRDefault="007800EB">
            <w:pPr>
              <w:pStyle w:val="a6"/>
              <w:snapToGrid w:val="0"/>
              <w:rPr>
                <w:rFonts w:ascii="黑体" w:eastAsia="黑体" w:hAnsi="黑体" w:cs="黑体"/>
                <w:kern w:val="0"/>
                <w:sz w:val="24"/>
              </w:rPr>
            </w:pPr>
          </w:p>
        </w:tc>
        <w:tc>
          <w:tcPr>
            <w:tcW w:w="838" w:type="dxa"/>
            <w:vMerge/>
            <w:vAlign w:val="center"/>
          </w:tcPr>
          <w:p w:rsidR="007800EB" w:rsidRDefault="007800EB">
            <w:pPr>
              <w:pStyle w:val="a6"/>
              <w:snapToGrid w:val="0"/>
              <w:rPr>
                <w:rFonts w:ascii="黑体" w:eastAsia="黑体" w:hAnsi="黑体" w:cs="黑体"/>
                <w:kern w:val="0"/>
                <w:sz w:val="24"/>
              </w:rPr>
            </w:pPr>
          </w:p>
        </w:tc>
        <w:tc>
          <w:tcPr>
            <w:tcW w:w="1525" w:type="dxa"/>
            <w:vMerge/>
            <w:vAlign w:val="center"/>
          </w:tcPr>
          <w:p w:rsidR="007800EB" w:rsidRDefault="007800EB">
            <w:pPr>
              <w:pStyle w:val="a6"/>
              <w:snapToGrid w:val="0"/>
              <w:rPr>
                <w:rFonts w:ascii="黑体" w:eastAsia="黑体" w:hAnsi="黑体" w:cs="黑体"/>
                <w:kern w:val="0"/>
                <w:sz w:val="24"/>
              </w:rPr>
            </w:pPr>
          </w:p>
        </w:tc>
        <w:tc>
          <w:tcPr>
            <w:tcW w:w="1437" w:type="dxa"/>
            <w:vMerge/>
            <w:vAlign w:val="center"/>
          </w:tcPr>
          <w:p w:rsidR="007800EB" w:rsidRDefault="007800EB">
            <w:pPr>
              <w:pStyle w:val="a6"/>
              <w:snapToGrid w:val="0"/>
              <w:rPr>
                <w:rFonts w:ascii="黑体" w:eastAsia="黑体" w:hAnsi="黑体" w:cs="黑体"/>
                <w:kern w:val="0"/>
                <w:sz w:val="24"/>
              </w:rPr>
            </w:pPr>
          </w:p>
        </w:tc>
        <w:tc>
          <w:tcPr>
            <w:tcW w:w="1263" w:type="dxa"/>
            <w:vMerge/>
            <w:vAlign w:val="center"/>
          </w:tcPr>
          <w:p w:rsidR="007800EB" w:rsidRDefault="007800EB">
            <w:pPr>
              <w:pStyle w:val="a6"/>
              <w:snapToGrid w:val="0"/>
              <w:rPr>
                <w:rFonts w:ascii="黑体" w:eastAsia="黑体" w:hAnsi="黑体" w:cs="黑体"/>
                <w:kern w:val="0"/>
                <w:sz w:val="24"/>
              </w:rPr>
            </w:pPr>
          </w:p>
        </w:tc>
        <w:tc>
          <w:tcPr>
            <w:tcW w:w="2975" w:type="dxa"/>
            <w:gridSpan w:val="2"/>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人工监测</w:t>
            </w:r>
          </w:p>
        </w:tc>
        <w:tc>
          <w:tcPr>
            <w:tcW w:w="2887" w:type="dxa"/>
            <w:gridSpan w:val="2"/>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自动监测</w:t>
            </w:r>
          </w:p>
        </w:tc>
        <w:tc>
          <w:tcPr>
            <w:tcW w:w="2162" w:type="dxa"/>
            <w:vMerge/>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95"/>
          <w:tblHeader/>
          <w:jc w:val="center"/>
        </w:trPr>
        <w:tc>
          <w:tcPr>
            <w:tcW w:w="738" w:type="dxa"/>
            <w:vMerge/>
            <w:vAlign w:val="center"/>
          </w:tcPr>
          <w:p w:rsidR="007800EB" w:rsidRDefault="007800EB">
            <w:pPr>
              <w:widowControl/>
              <w:overflowPunct w:val="0"/>
              <w:adjustRightInd w:val="0"/>
              <w:snapToGrid w:val="0"/>
              <w:jc w:val="center"/>
            </w:pPr>
          </w:p>
        </w:tc>
        <w:tc>
          <w:tcPr>
            <w:tcW w:w="850" w:type="dxa"/>
            <w:vMerge/>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838" w:type="dxa"/>
            <w:vMerge/>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525" w:type="dxa"/>
            <w:vMerge/>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437" w:type="dxa"/>
            <w:vMerge/>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263" w:type="dxa"/>
            <w:vMerge/>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48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措施</w:t>
            </w:r>
          </w:p>
        </w:tc>
        <w:tc>
          <w:tcPr>
            <w:tcW w:w="1488"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频次</w:t>
            </w:r>
          </w:p>
        </w:tc>
        <w:tc>
          <w:tcPr>
            <w:tcW w:w="145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措施</w:t>
            </w:r>
          </w:p>
        </w:tc>
        <w:tc>
          <w:tcPr>
            <w:tcW w:w="143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频次</w:t>
            </w:r>
          </w:p>
        </w:tc>
        <w:tc>
          <w:tcPr>
            <w:tcW w:w="2162" w:type="dxa"/>
            <w:vMerge/>
            <w:vAlign w:val="center"/>
          </w:tcPr>
          <w:p w:rsidR="007800EB" w:rsidRDefault="007800EB">
            <w:pPr>
              <w:widowControl/>
              <w:overflowPunct w:val="0"/>
              <w:adjustRightInd w:val="0"/>
              <w:snapToGrid w:val="0"/>
              <w:jc w:val="center"/>
              <w:rPr>
                <w:rFonts w:ascii="黑体" w:eastAsia="黑体" w:hAnsi="黑体" w:cs="黑体"/>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738"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8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83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525"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3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63"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88" w:type="dxa"/>
            <w:vAlign w:val="center"/>
          </w:tcPr>
          <w:p w:rsidR="007800EB" w:rsidRDefault="007800EB">
            <w:pPr>
              <w:widowControl/>
              <w:overflowPunct w:val="0"/>
              <w:adjustRightInd w:val="0"/>
              <w:snapToGrid w:val="0"/>
              <w:jc w:val="center"/>
              <w:rPr>
                <w:rFonts w:ascii="宋体" w:hAnsi="宋体" w:cs="宋体"/>
                <w:kern w:val="0"/>
                <w:szCs w:val="21"/>
              </w:rPr>
            </w:pPr>
          </w:p>
        </w:tc>
        <w:tc>
          <w:tcPr>
            <w:tcW w:w="1450" w:type="dxa"/>
            <w:vAlign w:val="center"/>
          </w:tcPr>
          <w:p w:rsidR="007800EB" w:rsidRDefault="007800EB">
            <w:pPr>
              <w:widowControl/>
              <w:overflowPunct w:val="0"/>
              <w:adjustRightInd w:val="0"/>
              <w:snapToGrid w:val="0"/>
              <w:jc w:val="left"/>
              <w:rPr>
                <w:rFonts w:ascii="宋体" w:hAnsi="宋体" w:cs="宋体"/>
                <w:kern w:val="0"/>
                <w:szCs w:val="21"/>
              </w:rPr>
            </w:pPr>
          </w:p>
        </w:tc>
        <w:tc>
          <w:tcPr>
            <w:tcW w:w="1437" w:type="dxa"/>
            <w:vAlign w:val="center"/>
          </w:tcPr>
          <w:p w:rsidR="007800EB" w:rsidRDefault="007800EB">
            <w:pPr>
              <w:widowControl/>
              <w:overflowPunct w:val="0"/>
              <w:adjustRightInd w:val="0"/>
              <w:snapToGrid w:val="0"/>
              <w:jc w:val="left"/>
              <w:rPr>
                <w:rFonts w:ascii="宋体" w:hAnsi="宋体" w:cs="宋体"/>
                <w:kern w:val="0"/>
                <w:szCs w:val="21"/>
              </w:rPr>
            </w:pPr>
          </w:p>
        </w:tc>
        <w:tc>
          <w:tcPr>
            <w:tcW w:w="2162" w:type="dxa"/>
            <w:vAlign w:val="center"/>
          </w:tcPr>
          <w:p w:rsidR="007800EB" w:rsidRDefault="007800EB">
            <w:pPr>
              <w:widowControl/>
              <w:overflowPunct w:val="0"/>
              <w:adjustRightInd w:val="0"/>
              <w:snapToGrid w:val="0"/>
              <w:jc w:val="left"/>
              <w:rPr>
                <w:rFonts w:ascii="宋体" w:hAnsi="宋体" w:cs="宋体"/>
                <w:kern w:val="0"/>
                <w:szCs w:val="21"/>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38"/>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b/>
          <w:bCs/>
          <w:color w:val="000000"/>
          <w:sz w:val="30"/>
          <w:szCs w:val="30"/>
        </w:rPr>
      </w:pPr>
    </w:p>
    <w:p w:rsidR="007800EB" w:rsidRDefault="00D67590">
      <w:pPr>
        <w:widowControl/>
        <w:jc w:val="center"/>
        <w:textAlignment w:val="center"/>
        <w:rPr>
          <w:rFonts w:ascii="宋体" w:hAnsi="宋体" w:cs="宋体"/>
          <w:b/>
          <w:bCs/>
          <w:sz w:val="32"/>
          <w:szCs w:val="32"/>
        </w:rPr>
      </w:pPr>
      <w:r>
        <w:rPr>
          <w:rFonts w:ascii="宋体" w:hAnsi="宋体" w:cs="宋体" w:hint="eastAsia"/>
          <w:b/>
          <w:bCs/>
          <w:sz w:val="32"/>
          <w:szCs w:val="32"/>
        </w:rPr>
        <w:t>A.4 风险分级管</w:t>
      </w:r>
      <w:proofErr w:type="gramStart"/>
      <w:r>
        <w:rPr>
          <w:rFonts w:ascii="宋体" w:hAnsi="宋体" w:cs="宋体" w:hint="eastAsia"/>
          <w:b/>
          <w:bCs/>
          <w:sz w:val="32"/>
          <w:szCs w:val="32"/>
        </w:rPr>
        <w:t>控责任</w:t>
      </w:r>
      <w:proofErr w:type="gramEnd"/>
      <w:r>
        <w:rPr>
          <w:rFonts w:ascii="宋体" w:hAnsi="宋体" w:cs="宋体" w:hint="eastAsia"/>
          <w:b/>
          <w:bCs/>
          <w:sz w:val="32"/>
          <w:szCs w:val="32"/>
        </w:rPr>
        <w:t>表</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753"/>
        <w:gridCol w:w="1536"/>
        <w:gridCol w:w="1335"/>
        <w:gridCol w:w="1044"/>
        <w:gridCol w:w="988"/>
        <w:gridCol w:w="1371"/>
        <w:gridCol w:w="1003"/>
        <w:gridCol w:w="1068"/>
        <w:gridCol w:w="1356"/>
        <w:gridCol w:w="1115"/>
        <w:gridCol w:w="953"/>
        <w:gridCol w:w="1206"/>
        <w:gridCol w:w="968"/>
      </w:tblGrid>
      <w:tr w:rsidR="007800EB">
        <w:trPr>
          <w:trHeight w:val="567"/>
          <w:jc w:val="center"/>
        </w:trPr>
        <w:tc>
          <w:tcPr>
            <w:tcW w:w="753" w:type="dxa"/>
            <w:vMerge w:val="restart"/>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序号</w:t>
            </w:r>
          </w:p>
        </w:tc>
        <w:tc>
          <w:tcPr>
            <w:tcW w:w="1536" w:type="dxa"/>
            <w:vMerge w:val="restart"/>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危险源名称</w:t>
            </w:r>
          </w:p>
        </w:tc>
        <w:tc>
          <w:tcPr>
            <w:tcW w:w="1335" w:type="dxa"/>
            <w:vMerge w:val="restart"/>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风险等级</w:t>
            </w:r>
          </w:p>
        </w:tc>
        <w:tc>
          <w:tcPr>
            <w:tcW w:w="3403" w:type="dxa"/>
            <w:gridSpan w:val="3"/>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监督责任人</w:t>
            </w:r>
          </w:p>
        </w:tc>
        <w:tc>
          <w:tcPr>
            <w:tcW w:w="3427" w:type="dxa"/>
            <w:gridSpan w:val="3"/>
            <w:vAlign w:val="center"/>
          </w:tcPr>
          <w:p w:rsidR="007800EB" w:rsidRDefault="00D67590">
            <w:pPr>
              <w:overflowPunct w:val="0"/>
              <w:snapToGrid w:val="0"/>
              <w:jc w:val="center"/>
              <w:rPr>
                <w:rFonts w:ascii="黑体" w:eastAsia="黑体" w:hAnsi="黑体" w:cs="黑体"/>
                <w:bCs/>
                <w:sz w:val="24"/>
              </w:rPr>
            </w:pPr>
            <w:r>
              <w:rPr>
                <w:rFonts w:ascii="黑体" w:eastAsia="黑体" w:hAnsi="黑体" w:cs="黑体" w:hint="eastAsia"/>
                <w:bCs/>
                <w:sz w:val="24"/>
              </w:rPr>
              <w:t>组织管控责任人</w:t>
            </w:r>
          </w:p>
        </w:tc>
        <w:tc>
          <w:tcPr>
            <w:tcW w:w="3274" w:type="dxa"/>
            <w:gridSpan w:val="3"/>
            <w:vAlign w:val="center"/>
          </w:tcPr>
          <w:p w:rsidR="007800EB" w:rsidRDefault="00D67590">
            <w:pPr>
              <w:overflowPunct w:val="0"/>
              <w:snapToGrid w:val="0"/>
              <w:jc w:val="center"/>
              <w:rPr>
                <w:rFonts w:ascii="黑体" w:eastAsia="黑体" w:hAnsi="黑体" w:cs="黑体"/>
                <w:bCs/>
                <w:sz w:val="24"/>
              </w:rPr>
            </w:pPr>
            <w:r>
              <w:rPr>
                <w:rFonts w:ascii="黑体" w:eastAsia="黑体" w:hAnsi="黑体" w:cs="黑体" w:hint="eastAsia"/>
                <w:bCs/>
                <w:sz w:val="24"/>
              </w:rPr>
              <w:t>现场管控责任人</w:t>
            </w:r>
          </w:p>
        </w:tc>
        <w:tc>
          <w:tcPr>
            <w:tcW w:w="968" w:type="dxa"/>
            <w:vMerge w:val="restart"/>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备注</w:t>
            </w:r>
          </w:p>
        </w:tc>
      </w:tr>
      <w:tr w:rsidR="007800EB">
        <w:trPr>
          <w:trHeight w:val="567"/>
          <w:jc w:val="center"/>
        </w:trPr>
        <w:tc>
          <w:tcPr>
            <w:tcW w:w="753" w:type="dxa"/>
            <w:vMerge/>
            <w:vAlign w:val="center"/>
          </w:tcPr>
          <w:p w:rsidR="007800EB" w:rsidRDefault="007800EB">
            <w:pPr>
              <w:overflowPunct w:val="0"/>
              <w:snapToGrid w:val="0"/>
              <w:jc w:val="center"/>
              <w:rPr>
                <w:rFonts w:ascii="黑体" w:eastAsia="黑体" w:hAnsi="黑体" w:cs="黑体"/>
                <w:b/>
                <w:sz w:val="24"/>
              </w:rPr>
            </w:pPr>
          </w:p>
        </w:tc>
        <w:tc>
          <w:tcPr>
            <w:tcW w:w="1536" w:type="dxa"/>
            <w:vMerge/>
            <w:vAlign w:val="center"/>
          </w:tcPr>
          <w:p w:rsidR="007800EB" w:rsidRDefault="007800EB">
            <w:pPr>
              <w:overflowPunct w:val="0"/>
              <w:snapToGrid w:val="0"/>
              <w:jc w:val="center"/>
              <w:rPr>
                <w:rFonts w:ascii="黑体" w:eastAsia="黑体" w:hAnsi="黑体" w:cs="黑体"/>
                <w:b/>
                <w:sz w:val="24"/>
              </w:rPr>
            </w:pPr>
          </w:p>
        </w:tc>
        <w:tc>
          <w:tcPr>
            <w:tcW w:w="1335" w:type="dxa"/>
            <w:vMerge/>
            <w:vAlign w:val="center"/>
          </w:tcPr>
          <w:p w:rsidR="007800EB" w:rsidRDefault="007800EB">
            <w:pPr>
              <w:overflowPunct w:val="0"/>
              <w:snapToGrid w:val="0"/>
              <w:jc w:val="center"/>
              <w:rPr>
                <w:rFonts w:ascii="黑体" w:eastAsia="黑体" w:hAnsi="黑体" w:cs="黑体"/>
                <w:b/>
                <w:sz w:val="24"/>
              </w:rPr>
            </w:pPr>
          </w:p>
        </w:tc>
        <w:tc>
          <w:tcPr>
            <w:tcW w:w="1044"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单位</w:t>
            </w:r>
          </w:p>
        </w:tc>
        <w:tc>
          <w:tcPr>
            <w:tcW w:w="988"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姓名</w:t>
            </w:r>
          </w:p>
        </w:tc>
        <w:tc>
          <w:tcPr>
            <w:tcW w:w="1371"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联系方式</w:t>
            </w:r>
          </w:p>
        </w:tc>
        <w:tc>
          <w:tcPr>
            <w:tcW w:w="1003"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单位</w:t>
            </w:r>
          </w:p>
        </w:tc>
        <w:tc>
          <w:tcPr>
            <w:tcW w:w="1068"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姓名</w:t>
            </w:r>
          </w:p>
        </w:tc>
        <w:tc>
          <w:tcPr>
            <w:tcW w:w="1356"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联系方式</w:t>
            </w:r>
          </w:p>
        </w:tc>
        <w:tc>
          <w:tcPr>
            <w:tcW w:w="1115"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单位</w:t>
            </w:r>
          </w:p>
        </w:tc>
        <w:tc>
          <w:tcPr>
            <w:tcW w:w="953"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姓名</w:t>
            </w:r>
          </w:p>
        </w:tc>
        <w:tc>
          <w:tcPr>
            <w:tcW w:w="1206" w:type="dxa"/>
            <w:vAlign w:val="center"/>
          </w:tcPr>
          <w:p w:rsidR="007800EB" w:rsidRDefault="00D67590">
            <w:pPr>
              <w:overflowPunct w:val="0"/>
              <w:snapToGrid w:val="0"/>
              <w:jc w:val="center"/>
              <w:rPr>
                <w:rFonts w:ascii="黑体" w:eastAsia="黑体" w:hAnsi="黑体" w:cs="黑体"/>
                <w:sz w:val="24"/>
              </w:rPr>
            </w:pPr>
            <w:r>
              <w:rPr>
                <w:rFonts w:ascii="黑体" w:eastAsia="黑体" w:hAnsi="黑体" w:cs="黑体" w:hint="eastAsia"/>
                <w:sz w:val="24"/>
              </w:rPr>
              <w:t>联系方式</w:t>
            </w:r>
          </w:p>
        </w:tc>
        <w:tc>
          <w:tcPr>
            <w:tcW w:w="968" w:type="dxa"/>
            <w:vMerge/>
            <w:vAlign w:val="center"/>
          </w:tcPr>
          <w:p w:rsidR="007800EB" w:rsidRDefault="007800EB">
            <w:pPr>
              <w:overflowPunct w:val="0"/>
              <w:snapToGrid w:val="0"/>
              <w:jc w:val="center"/>
              <w:rPr>
                <w:rFonts w:ascii="黑体" w:eastAsia="黑体" w:hAnsi="黑体" w:cs="黑体"/>
                <w:b/>
                <w:sz w:val="24"/>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center"/>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left"/>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left"/>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left"/>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left"/>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r w:rsidR="007800EB">
        <w:trPr>
          <w:trHeight w:val="90"/>
          <w:jc w:val="center"/>
        </w:trPr>
        <w:tc>
          <w:tcPr>
            <w:tcW w:w="753" w:type="dxa"/>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536" w:type="dxa"/>
            <w:vAlign w:val="center"/>
          </w:tcPr>
          <w:p w:rsidR="007800EB" w:rsidRDefault="007800EB">
            <w:pPr>
              <w:overflowPunct w:val="0"/>
              <w:jc w:val="center"/>
              <w:rPr>
                <w:rFonts w:ascii="仿宋_GB2312" w:eastAsia="仿宋_GB2312" w:hAnsi="仿宋_GB2312" w:cs="仿宋_GB2312"/>
                <w:sz w:val="24"/>
              </w:rPr>
            </w:pPr>
          </w:p>
        </w:tc>
        <w:tc>
          <w:tcPr>
            <w:tcW w:w="1335" w:type="dxa"/>
            <w:vAlign w:val="center"/>
          </w:tcPr>
          <w:p w:rsidR="007800EB" w:rsidRDefault="007800EB">
            <w:pPr>
              <w:overflowPunct w:val="0"/>
              <w:jc w:val="center"/>
              <w:rPr>
                <w:rFonts w:ascii="仿宋_GB2312" w:eastAsia="仿宋_GB2312" w:hAnsi="仿宋_GB2312" w:cs="仿宋_GB2312"/>
                <w:sz w:val="24"/>
              </w:rPr>
            </w:pPr>
          </w:p>
        </w:tc>
        <w:tc>
          <w:tcPr>
            <w:tcW w:w="1044" w:type="dxa"/>
            <w:vAlign w:val="center"/>
          </w:tcPr>
          <w:p w:rsidR="007800EB" w:rsidRDefault="007800EB">
            <w:pPr>
              <w:overflowPunct w:val="0"/>
              <w:jc w:val="center"/>
              <w:rPr>
                <w:rFonts w:ascii="仿宋_GB2312" w:eastAsia="仿宋_GB2312" w:hAnsi="仿宋_GB2312" w:cs="仿宋_GB2312"/>
                <w:sz w:val="28"/>
                <w:szCs w:val="28"/>
              </w:rPr>
            </w:pPr>
          </w:p>
        </w:tc>
        <w:tc>
          <w:tcPr>
            <w:tcW w:w="988" w:type="dxa"/>
            <w:vAlign w:val="center"/>
          </w:tcPr>
          <w:p w:rsidR="007800EB" w:rsidRDefault="007800EB">
            <w:pPr>
              <w:overflowPunct w:val="0"/>
              <w:jc w:val="center"/>
              <w:rPr>
                <w:rFonts w:ascii="仿宋_GB2312" w:eastAsia="仿宋_GB2312" w:hAnsi="仿宋_GB2312" w:cs="仿宋_GB2312"/>
                <w:sz w:val="28"/>
                <w:szCs w:val="28"/>
              </w:rPr>
            </w:pPr>
          </w:p>
        </w:tc>
        <w:tc>
          <w:tcPr>
            <w:tcW w:w="1371" w:type="dxa"/>
            <w:vAlign w:val="center"/>
          </w:tcPr>
          <w:p w:rsidR="007800EB" w:rsidRDefault="007800EB">
            <w:pPr>
              <w:overflowPunct w:val="0"/>
              <w:jc w:val="center"/>
              <w:rPr>
                <w:rFonts w:ascii="仿宋_GB2312" w:eastAsia="仿宋_GB2312" w:hAnsi="仿宋_GB2312" w:cs="仿宋_GB2312"/>
                <w:sz w:val="28"/>
                <w:szCs w:val="28"/>
              </w:rPr>
            </w:pPr>
          </w:p>
        </w:tc>
        <w:tc>
          <w:tcPr>
            <w:tcW w:w="1003" w:type="dxa"/>
            <w:vAlign w:val="center"/>
          </w:tcPr>
          <w:p w:rsidR="007800EB" w:rsidRDefault="007800EB">
            <w:pPr>
              <w:overflowPunct w:val="0"/>
              <w:jc w:val="center"/>
              <w:rPr>
                <w:rFonts w:ascii="仿宋_GB2312" w:eastAsia="仿宋_GB2312" w:hAnsi="仿宋_GB2312" w:cs="仿宋_GB2312"/>
                <w:sz w:val="28"/>
                <w:szCs w:val="28"/>
              </w:rPr>
            </w:pPr>
          </w:p>
        </w:tc>
        <w:tc>
          <w:tcPr>
            <w:tcW w:w="1068" w:type="dxa"/>
            <w:vAlign w:val="center"/>
          </w:tcPr>
          <w:p w:rsidR="007800EB" w:rsidRDefault="007800EB">
            <w:pPr>
              <w:overflowPunct w:val="0"/>
              <w:jc w:val="center"/>
              <w:rPr>
                <w:rFonts w:ascii="仿宋_GB2312" w:eastAsia="仿宋_GB2312" w:hAnsi="仿宋_GB2312" w:cs="仿宋_GB2312"/>
                <w:sz w:val="28"/>
                <w:szCs w:val="28"/>
              </w:rPr>
            </w:pPr>
          </w:p>
        </w:tc>
        <w:tc>
          <w:tcPr>
            <w:tcW w:w="1356" w:type="dxa"/>
            <w:vAlign w:val="center"/>
          </w:tcPr>
          <w:p w:rsidR="007800EB" w:rsidRDefault="007800EB">
            <w:pPr>
              <w:overflowPunct w:val="0"/>
              <w:jc w:val="center"/>
              <w:rPr>
                <w:rFonts w:ascii="仿宋_GB2312" w:eastAsia="仿宋_GB2312" w:hAnsi="仿宋_GB2312" w:cs="仿宋_GB2312"/>
                <w:sz w:val="28"/>
                <w:szCs w:val="28"/>
              </w:rPr>
            </w:pPr>
          </w:p>
        </w:tc>
        <w:tc>
          <w:tcPr>
            <w:tcW w:w="1115" w:type="dxa"/>
            <w:vAlign w:val="center"/>
          </w:tcPr>
          <w:p w:rsidR="007800EB" w:rsidRDefault="007800EB">
            <w:pPr>
              <w:overflowPunct w:val="0"/>
              <w:jc w:val="center"/>
              <w:rPr>
                <w:rFonts w:ascii="仿宋_GB2312" w:eastAsia="仿宋_GB2312" w:hAnsi="仿宋_GB2312" w:cs="仿宋_GB2312"/>
                <w:sz w:val="28"/>
                <w:szCs w:val="28"/>
              </w:rPr>
            </w:pPr>
          </w:p>
        </w:tc>
        <w:tc>
          <w:tcPr>
            <w:tcW w:w="953" w:type="dxa"/>
            <w:vAlign w:val="center"/>
          </w:tcPr>
          <w:p w:rsidR="007800EB" w:rsidRDefault="007800EB">
            <w:pPr>
              <w:overflowPunct w:val="0"/>
              <w:jc w:val="center"/>
              <w:rPr>
                <w:rFonts w:ascii="仿宋_GB2312" w:eastAsia="仿宋_GB2312" w:hAnsi="仿宋_GB2312" w:cs="仿宋_GB2312"/>
                <w:sz w:val="28"/>
                <w:szCs w:val="28"/>
              </w:rPr>
            </w:pPr>
          </w:p>
        </w:tc>
        <w:tc>
          <w:tcPr>
            <w:tcW w:w="1206" w:type="dxa"/>
            <w:vAlign w:val="center"/>
          </w:tcPr>
          <w:p w:rsidR="007800EB" w:rsidRDefault="007800EB">
            <w:pPr>
              <w:overflowPunct w:val="0"/>
              <w:jc w:val="left"/>
              <w:rPr>
                <w:rFonts w:ascii="仿宋_GB2312" w:eastAsia="仿宋_GB2312" w:hAnsi="仿宋_GB2312" w:cs="仿宋_GB2312"/>
                <w:sz w:val="28"/>
                <w:szCs w:val="28"/>
              </w:rPr>
            </w:pPr>
          </w:p>
        </w:tc>
        <w:tc>
          <w:tcPr>
            <w:tcW w:w="968" w:type="dxa"/>
            <w:vAlign w:val="center"/>
          </w:tcPr>
          <w:p w:rsidR="007800EB" w:rsidRDefault="007800EB">
            <w:pPr>
              <w:overflowPunct w:val="0"/>
              <w:jc w:val="center"/>
              <w:rPr>
                <w:rFonts w:ascii="仿宋_GB2312" w:eastAsia="仿宋_GB2312" w:hAnsi="仿宋_GB2312" w:cs="仿宋_GB2312"/>
                <w:sz w:val="28"/>
                <w:szCs w:val="28"/>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39"/>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A.5 危险源管控措施清单</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902"/>
        <w:gridCol w:w="944"/>
        <w:gridCol w:w="900"/>
        <w:gridCol w:w="1070"/>
        <w:gridCol w:w="1050"/>
        <w:gridCol w:w="985"/>
        <w:gridCol w:w="917"/>
        <w:gridCol w:w="1288"/>
        <w:gridCol w:w="1270"/>
        <w:gridCol w:w="1281"/>
        <w:gridCol w:w="1245"/>
        <w:gridCol w:w="1354"/>
        <w:gridCol w:w="1430"/>
      </w:tblGrid>
      <w:tr w:rsidR="007800EB">
        <w:trPr>
          <w:trHeight w:val="643"/>
          <w:tblHeader/>
          <w:jc w:val="center"/>
        </w:trPr>
        <w:tc>
          <w:tcPr>
            <w:tcW w:w="902" w:type="dxa"/>
            <w:vMerge w:val="restart"/>
            <w:vAlign w:val="center"/>
          </w:tcPr>
          <w:p w:rsidR="007800EB" w:rsidRDefault="00D67590">
            <w:pPr>
              <w:widowControl/>
              <w:overflowPunct w:val="0"/>
              <w:jc w:val="center"/>
              <w:rPr>
                <w:rFonts w:ascii="黑体" w:eastAsia="黑体" w:hAnsi="黑体" w:cs="黑体"/>
                <w:kern w:val="0"/>
                <w:sz w:val="24"/>
              </w:rPr>
            </w:pPr>
            <w:r>
              <w:rPr>
                <w:rFonts w:ascii="黑体" w:eastAsia="黑体" w:hAnsi="黑体" w:cs="黑体" w:hint="eastAsia"/>
                <w:kern w:val="0"/>
                <w:sz w:val="24"/>
              </w:rPr>
              <w:t>序号</w:t>
            </w:r>
          </w:p>
        </w:tc>
        <w:tc>
          <w:tcPr>
            <w:tcW w:w="944"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类别</w:t>
            </w:r>
          </w:p>
        </w:tc>
        <w:tc>
          <w:tcPr>
            <w:tcW w:w="900"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项目</w:t>
            </w:r>
          </w:p>
        </w:tc>
        <w:tc>
          <w:tcPr>
            <w:tcW w:w="1070"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危险源名称</w:t>
            </w:r>
          </w:p>
        </w:tc>
        <w:tc>
          <w:tcPr>
            <w:tcW w:w="1050"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危险源级别</w:t>
            </w:r>
          </w:p>
        </w:tc>
        <w:tc>
          <w:tcPr>
            <w:tcW w:w="985"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风险</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等级</w:t>
            </w:r>
          </w:p>
        </w:tc>
        <w:tc>
          <w:tcPr>
            <w:tcW w:w="917" w:type="dxa"/>
            <w:vMerge w:val="restart"/>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位置</w:t>
            </w:r>
          </w:p>
        </w:tc>
        <w:tc>
          <w:tcPr>
            <w:tcW w:w="7868" w:type="dxa"/>
            <w:gridSpan w:val="6"/>
            <w:vAlign w:val="center"/>
          </w:tcPr>
          <w:p w:rsidR="007800EB" w:rsidRDefault="00D67590">
            <w:pPr>
              <w:widowControl/>
              <w:overflowPunct w:val="0"/>
              <w:adjustRightInd w:val="0"/>
              <w:snapToGrid w:val="0"/>
              <w:jc w:val="center"/>
              <w:rPr>
                <w:rFonts w:ascii="黑体" w:eastAsia="黑体" w:hAnsi="黑体" w:cs="黑体"/>
              </w:rPr>
            </w:pPr>
            <w:r>
              <w:rPr>
                <w:rFonts w:ascii="黑体" w:eastAsia="黑体" w:hAnsi="黑体" w:cs="黑体" w:hint="eastAsia"/>
                <w:kern w:val="0"/>
                <w:sz w:val="24"/>
              </w:rPr>
              <w:t>管控措施</w:t>
            </w:r>
          </w:p>
        </w:tc>
      </w:tr>
      <w:tr w:rsidR="007800EB">
        <w:trPr>
          <w:trHeight w:val="1009"/>
          <w:tblHeader/>
          <w:jc w:val="center"/>
        </w:trPr>
        <w:tc>
          <w:tcPr>
            <w:tcW w:w="902" w:type="dxa"/>
            <w:vMerge/>
            <w:vAlign w:val="center"/>
          </w:tcPr>
          <w:p w:rsidR="007800EB" w:rsidRDefault="007800EB">
            <w:pPr>
              <w:pStyle w:val="a6"/>
              <w:snapToGrid w:val="0"/>
              <w:rPr>
                <w:rFonts w:ascii="黑体" w:eastAsia="黑体" w:hAnsi="黑体" w:cs="黑体"/>
                <w:sz w:val="24"/>
              </w:rPr>
            </w:pPr>
          </w:p>
        </w:tc>
        <w:tc>
          <w:tcPr>
            <w:tcW w:w="944" w:type="dxa"/>
            <w:vMerge/>
            <w:vAlign w:val="center"/>
          </w:tcPr>
          <w:p w:rsidR="007800EB" w:rsidRDefault="007800EB">
            <w:pPr>
              <w:pStyle w:val="a6"/>
              <w:snapToGrid w:val="0"/>
              <w:rPr>
                <w:rFonts w:ascii="黑体" w:eastAsia="黑体" w:hAnsi="黑体" w:cs="黑体"/>
                <w:sz w:val="24"/>
              </w:rPr>
            </w:pPr>
          </w:p>
        </w:tc>
        <w:tc>
          <w:tcPr>
            <w:tcW w:w="900" w:type="dxa"/>
            <w:vMerge/>
            <w:vAlign w:val="center"/>
          </w:tcPr>
          <w:p w:rsidR="007800EB" w:rsidRDefault="007800EB">
            <w:pPr>
              <w:pStyle w:val="a6"/>
              <w:snapToGrid w:val="0"/>
              <w:rPr>
                <w:rFonts w:ascii="黑体" w:eastAsia="黑体" w:hAnsi="黑体" w:cs="黑体"/>
                <w:sz w:val="24"/>
              </w:rPr>
            </w:pPr>
          </w:p>
        </w:tc>
        <w:tc>
          <w:tcPr>
            <w:tcW w:w="1070" w:type="dxa"/>
            <w:vMerge/>
            <w:vAlign w:val="center"/>
          </w:tcPr>
          <w:p w:rsidR="007800EB" w:rsidRDefault="007800EB">
            <w:pPr>
              <w:pStyle w:val="a6"/>
              <w:snapToGrid w:val="0"/>
              <w:rPr>
                <w:rFonts w:ascii="黑体" w:eastAsia="黑体" w:hAnsi="黑体" w:cs="黑体"/>
                <w:sz w:val="24"/>
              </w:rPr>
            </w:pPr>
          </w:p>
        </w:tc>
        <w:tc>
          <w:tcPr>
            <w:tcW w:w="1050" w:type="dxa"/>
            <w:vMerge/>
            <w:vAlign w:val="center"/>
          </w:tcPr>
          <w:p w:rsidR="007800EB" w:rsidRDefault="007800EB">
            <w:pPr>
              <w:pStyle w:val="a6"/>
              <w:snapToGrid w:val="0"/>
              <w:rPr>
                <w:rFonts w:ascii="黑体" w:eastAsia="黑体" w:hAnsi="黑体" w:cs="黑体"/>
                <w:sz w:val="24"/>
              </w:rPr>
            </w:pPr>
          </w:p>
        </w:tc>
        <w:tc>
          <w:tcPr>
            <w:tcW w:w="985" w:type="dxa"/>
            <w:vMerge/>
            <w:vAlign w:val="center"/>
          </w:tcPr>
          <w:p w:rsidR="007800EB" w:rsidRDefault="007800EB">
            <w:pPr>
              <w:pStyle w:val="a6"/>
              <w:snapToGrid w:val="0"/>
              <w:rPr>
                <w:rFonts w:ascii="黑体" w:eastAsia="黑体" w:hAnsi="黑体" w:cs="黑体"/>
                <w:sz w:val="24"/>
              </w:rPr>
            </w:pPr>
          </w:p>
        </w:tc>
        <w:tc>
          <w:tcPr>
            <w:tcW w:w="917" w:type="dxa"/>
            <w:vMerge/>
            <w:vAlign w:val="center"/>
          </w:tcPr>
          <w:p w:rsidR="007800EB" w:rsidRDefault="007800EB">
            <w:pPr>
              <w:pStyle w:val="a6"/>
              <w:snapToGrid w:val="0"/>
              <w:rPr>
                <w:rFonts w:ascii="黑体" w:eastAsia="黑体" w:hAnsi="黑体" w:cs="黑体"/>
                <w:sz w:val="24"/>
              </w:rPr>
            </w:pPr>
          </w:p>
        </w:tc>
        <w:tc>
          <w:tcPr>
            <w:tcW w:w="1288"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风险公告措施</w:t>
            </w:r>
          </w:p>
        </w:tc>
        <w:tc>
          <w:tcPr>
            <w:tcW w:w="1270"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kern w:val="0"/>
                <w:sz w:val="24"/>
              </w:rPr>
              <w:t>工程技术措施</w:t>
            </w:r>
          </w:p>
        </w:tc>
        <w:tc>
          <w:tcPr>
            <w:tcW w:w="1281"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管理</w:t>
            </w:r>
          </w:p>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措施</w:t>
            </w:r>
          </w:p>
        </w:tc>
        <w:tc>
          <w:tcPr>
            <w:tcW w:w="1245"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教育培训措施</w:t>
            </w:r>
          </w:p>
        </w:tc>
        <w:tc>
          <w:tcPr>
            <w:tcW w:w="1354"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个体防护措施</w:t>
            </w:r>
          </w:p>
        </w:tc>
        <w:tc>
          <w:tcPr>
            <w:tcW w:w="1430" w:type="dxa"/>
            <w:vAlign w:val="center"/>
          </w:tcPr>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应急处置</w:t>
            </w:r>
          </w:p>
          <w:p w:rsidR="007800EB" w:rsidRDefault="00D67590">
            <w:pPr>
              <w:pStyle w:val="a6"/>
              <w:snapToGrid w:val="0"/>
              <w:spacing w:after="0"/>
              <w:jc w:val="center"/>
              <w:rPr>
                <w:rFonts w:ascii="黑体" w:eastAsia="黑体" w:hAnsi="黑体" w:cs="黑体"/>
                <w:sz w:val="24"/>
              </w:rPr>
            </w:pPr>
            <w:r>
              <w:rPr>
                <w:rFonts w:ascii="黑体" w:eastAsia="黑体" w:hAnsi="黑体" w:cs="黑体" w:hint="eastAsia"/>
                <w:sz w:val="24"/>
              </w:rPr>
              <w:t>措施</w:t>
            </w: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1</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2</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3</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4</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5</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r w:rsidR="007800EB">
        <w:trPr>
          <w:trHeight w:val="567"/>
          <w:jc w:val="center"/>
        </w:trPr>
        <w:tc>
          <w:tcPr>
            <w:tcW w:w="902" w:type="dxa"/>
            <w:vAlign w:val="center"/>
          </w:tcPr>
          <w:p w:rsidR="007800EB" w:rsidRDefault="00D67590">
            <w:pPr>
              <w:overflowPunct w:val="0"/>
              <w:adjustRightInd w:val="0"/>
              <w:snapToGrid w:val="0"/>
              <w:jc w:val="center"/>
              <w:rPr>
                <w:rFonts w:ascii="宋体" w:hAnsi="宋体" w:cs="宋体"/>
                <w:kern w:val="0"/>
                <w:sz w:val="24"/>
              </w:rPr>
            </w:pPr>
            <w:r>
              <w:rPr>
                <w:rFonts w:ascii="宋体" w:hAnsi="宋体" w:cs="宋体" w:hint="eastAsia"/>
                <w:kern w:val="0"/>
                <w:sz w:val="24"/>
              </w:rPr>
              <w:t>…</w:t>
            </w:r>
          </w:p>
        </w:tc>
        <w:tc>
          <w:tcPr>
            <w:tcW w:w="944" w:type="dxa"/>
            <w:vAlign w:val="center"/>
          </w:tcPr>
          <w:p w:rsidR="007800EB" w:rsidRDefault="007800EB">
            <w:pPr>
              <w:widowControl/>
              <w:overflowPunct w:val="0"/>
              <w:adjustRightInd w:val="0"/>
              <w:snapToGrid w:val="0"/>
              <w:jc w:val="center"/>
              <w:rPr>
                <w:rFonts w:ascii="宋体" w:hAnsi="宋体" w:cs="宋体"/>
                <w:kern w:val="0"/>
                <w:sz w:val="24"/>
              </w:rPr>
            </w:pPr>
          </w:p>
        </w:tc>
        <w:tc>
          <w:tcPr>
            <w:tcW w:w="90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70" w:type="dxa"/>
            <w:vAlign w:val="center"/>
          </w:tcPr>
          <w:p w:rsidR="007800EB" w:rsidRDefault="007800EB">
            <w:pPr>
              <w:widowControl/>
              <w:overflowPunct w:val="0"/>
              <w:adjustRightInd w:val="0"/>
              <w:snapToGrid w:val="0"/>
              <w:jc w:val="center"/>
              <w:rPr>
                <w:rFonts w:ascii="宋体" w:hAnsi="宋体" w:cs="宋体"/>
                <w:kern w:val="0"/>
                <w:szCs w:val="21"/>
              </w:rPr>
            </w:pPr>
          </w:p>
        </w:tc>
        <w:tc>
          <w:tcPr>
            <w:tcW w:w="10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985" w:type="dxa"/>
            <w:vAlign w:val="center"/>
          </w:tcPr>
          <w:p w:rsidR="007800EB" w:rsidRDefault="007800EB">
            <w:pPr>
              <w:widowControl/>
              <w:overflowPunct w:val="0"/>
              <w:adjustRightInd w:val="0"/>
              <w:snapToGrid w:val="0"/>
              <w:jc w:val="center"/>
              <w:rPr>
                <w:rFonts w:ascii="宋体" w:hAnsi="宋体" w:cs="宋体"/>
                <w:kern w:val="0"/>
                <w:szCs w:val="21"/>
              </w:rPr>
            </w:pPr>
          </w:p>
        </w:tc>
        <w:tc>
          <w:tcPr>
            <w:tcW w:w="917" w:type="dxa"/>
            <w:vAlign w:val="center"/>
          </w:tcPr>
          <w:p w:rsidR="007800EB" w:rsidRDefault="007800EB">
            <w:pPr>
              <w:widowControl/>
              <w:overflowPunct w:val="0"/>
              <w:adjustRightInd w:val="0"/>
              <w:snapToGrid w:val="0"/>
              <w:jc w:val="center"/>
              <w:rPr>
                <w:rFonts w:ascii="宋体" w:hAnsi="宋体" w:cs="宋体"/>
                <w:kern w:val="0"/>
                <w:szCs w:val="21"/>
              </w:rPr>
            </w:pPr>
          </w:p>
        </w:tc>
        <w:tc>
          <w:tcPr>
            <w:tcW w:w="1288" w:type="dxa"/>
            <w:vAlign w:val="center"/>
          </w:tcPr>
          <w:p w:rsidR="007800EB" w:rsidRDefault="007800EB">
            <w:pPr>
              <w:widowControl/>
              <w:overflowPunct w:val="0"/>
              <w:adjustRightInd w:val="0"/>
              <w:snapToGrid w:val="0"/>
              <w:jc w:val="left"/>
              <w:rPr>
                <w:rFonts w:ascii="宋体" w:hAnsi="宋体" w:cs="宋体"/>
                <w:kern w:val="0"/>
                <w:szCs w:val="21"/>
              </w:rPr>
            </w:pPr>
          </w:p>
        </w:tc>
        <w:tc>
          <w:tcPr>
            <w:tcW w:w="1270" w:type="dxa"/>
            <w:vAlign w:val="center"/>
          </w:tcPr>
          <w:p w:rsidR="007800EB" w:rsidRDefault="007800EB">
            <w:pPr>
              <w:widowControl/>
              <w:overflowPunct w:val="0"/>
              <w:adjustRightInd w:val="0"/>
              <w:snapToGrid w:val="0"/>
              <w:jc w:val="left"/>
              <w:rPr>
                <w:rFonts w:ascii="宋体" w:hAnsi="宋体" w:cs="宋体"/>
                <w:kern w:val="0"/>
                <w:szCs w:val="21"/>
              </w:rPr>
            </w:pPr>
          </w:p>
        </w:tc>
        <w:tc>
          <w:tcPr>
            <w:tcW w:w="1281" w:type="dxa"/>
            <w:vAlign w:val="center"/>
          </w:tcPr>
          <w:p w:rsidR="007800EB" w:rsidRDefault="007800EB">
            <w:pPr>
              <w:widowControl/>
              <w:overflowPunct w:val="0"/>
              <w:adjustRightInd w:val="0"/>
              <w:snapToGrid w:val="0"/>
              <w:jc w:val="left"/>
              <w:rPr>
                <w:rFonts w:ascii="宋体" w:hAnsi="宋体" w:cs="宋体"/>
                <w:kern w:val="0"/>
                <w:szCs w:val="21"/>
              </w:rPr>
            </w:pPr>
          </w:p>
        </w:tc>
        <w:tc>
          <w:tcPr>
            <w:tcW w:w="1245" w:type="dxa"/>
            <w:vAlign w:val="center"/>
          </w:tcPr>
          <w:p w:rsidR="007800EB" w:rsidRDefault="007800EB">
            <w:pPr>
              <w:widowControl/>
              <w:overflowPunct w:val="0"/>
              <w:adjustRightInd w:val="0"/>
              <w:snapToGrid w:val="0"/>
              <w:jc w:val="left"/>
              <w:rPr>
                <w:rFonts w:ascii="宋体" w:hAnsi="宋体" w:cs="宋体"/>
                <w:kern w:val="0"/>
                <w:szCs w:val="21"/>
              </w:rPr>
            </w:pPr>
          </w:p>
        </w:tc>
        <w:tc>
          <w:tcPr>
            <w:tcW w:w="1354" w:type="dxa"/>
            <w:vAlign w:val="center"/>
          </w:tcPr>
          <w:p w:rsidR="007800EB" w:rsidRDefault="007800EB">
            <w:pPr>
              <w:widowControl/>
              <w:overflowPunct w:val="0"/>
              <w:adjustRightInd w:val="0"/>
              <w:snapToGrid w:val="0"/>
              <w:jc w:val="left"/>
              <w:rPr>
                <w:rFonts w:ascii="宋体" w:hAnsi="宋体" w:cs="宋体"/>
                <w:kern w:val="0"/>
                <w:szCs w:val="21"/>
              </w:rPr>
            </w:pPr>
          </w:p>
        </w:tc>
        <w:tc>
          <w:tcPr>
            <w:tcW w:w="1430" w:type="dxa"/>
            <w:vAlign w:val="center"/>
          </w:tcPr>
          <w:p w:rsidR="007800EB" w:rsidRDefault="007800EB">
            <w:pPr>
              <w:widowControl/>
              <w:overflowPunct w:val="0"/>
              <w:adjustRightInd w:val="0"/>
              <w:snapToGrid w:val="0"/>
              <w:jc w:val="left"/>
              <w:rPr>
                <w:rFonts w:ascii="宋体" w:hAnsi="宋体" w:cs="宋体"/>
                <w:kern w:val="0"/>
                <w:szCs w:val="21"/>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40"/>
          <w:pgSz w:w="16838" w:h="11906" w:orient="landscape"/>
          <w:pgMar w:top="1803" w:right="1440" w:bottom="1803" w:left="1440" w:header="851" w:footer="992" w:gutter="0"/>
          <w:cols w:space="720"/>
          <w:docGrid w:type="lines" w:linePitch="319"/>
        </w:sectPr>
      </w:pPr>
      <w:bookmarkStart w:id="139" w:name="_Toc30407"/>
      <w:bookmarkEnd w:id="138"/>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A.6 重大风险危险源备案表</w:t>
      </w:r>
    </w:p>
    <w:tbl>
      <w:tblPr>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3406"/>
        <w:gridCol w:w="1759"/>
        <w:gridCol w:w="2854"/>
      </w:tblGrid>
      <w:tr w:rsidR="007800EB">
        <w:trPr>
          <w:trHeight w:val="90"/>
        </w:trPr>
        <w:tc>
          <w:tcPr>
            <w:tcW w:w="1622" w:type="dxa"/>
            <w:vAlign w:val="center"/>
          </w:tcPr>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单位名称</w:t>
            </w:r>
          </w:p>
        </w:tc>
        <w:tc>
          <w:tcPr>
            <w:tcW w:w="8019" w:type="dxa"/>
            <w:gridSpan w:val="3"/>
            <w:vAlign w:val="center"/>
          </w:tcPr>
          <w:p w:rsidR="007800EB" w:rsidRDefault="007800EB">
            <w:pPr>
              <w:jc w:val="center"/>
              <w:rPr>
                <w:rFonts w:ascii="仿宋_GB2312" w:eastAsia="仿宋_GB2312" w:hAnsi="仿宋_GB2312" w:cs="仿宋_GB2312"/>
                <w:sz w:val="28"/>
                <w:szCs w:val="28"/>
              </w:rPr>
            </w:pPr>
          </w:p>
        </w:tc>
      </w:tr>
      <w:tr w:rsidR="007800EB">
        <w:trPr>
          <w:trHeight w:val="90"/>
        </w:trPr>
        <w:tc>
          <w:tcPr>
            <w:tcW w:w="1622"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工程名称</w:t>
            </w:r>
          </w:p>
        </w:tc>
        <w:tc>
          <w:tcPr>
            <w:tcW w:w="8019" w:type="dxa"/>
            <w:gridSpan w:val="3"/>
            <w:vAlign w:val="center"/>
          </w:tcPr>
          <w:p w:rsidR="007800EB" w:rsidRDefault="007800EB">
            <w:pPr>
              <w:jc w:val="center"/>
              <w:rPr>
                <w:rFonts w:ascii="仿宋_GB2312" w:eastAsia="仿宋_GB2312" w:hAnsi="仿宋_GB2312" w:cs="仿宋_GB2312"/>
                <w:sz w:val="28"/>
                <w:szCs w:val="28"/>
              </w:rPr>
            </w:pPr>
          </w:p>
        </w:tc>
      </w:tr>
      <w:tr w:rsidR="007800EB">
        <w:trPr>
          <w:trHeight w:val="90"/>
        </w:trPr>
        <w:tc>
          <w:tcPr>
            <w:tcW w:w="1622"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地    址</w:t>
            </w:r>
          </w:p>
        </w:tc>
        <w:tc>
          <w:tcPr>
            <w:tcW w:w="8019" w:type="dxa"/>
            <w:gridSpan w:val="3"/>
            <w:vAlign w:val="center"/>
          </w:tcPr>
          <w:p w:rsidR="007800EB" w:rsidRDefault="007800EB">
            <w:pPr>
              <w:jc w:val="center"/>
              <w:rPr>
                <w:rFonts w:ascii="仿宋_GB2312" w:eastAsia="仿宋_GB2312" w:hAnsi="仿宋_GB2312" w:cs="仿宋_GB2312"/>
                <w:sz w:val="28"/>
                <w:szCs w:val="28"/>
              </w:rPr>
            </w:pPr>
          </w:p>
        </w:tc>
      </w:tr>
      <w:tr w:rsidR="007800EB">
        <w:trPr>
          <w:trHeight w:val="90"/>
        </w:trPr>
        <w:tc>
          <w:tcPr>
            <w:tcW w:w="1622"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主要负责人</w:t>
            </w:r>
          </w:p>
        </w:tc>
        <w:tc>
          <w:tcPr>
            <w:tcW w:w="3406" w:type="dxa"/>
            <w:vAlign w:val="center"/>
          </w:tcPr>
          <w:p w:rsidR="007800EB" w:rsidRDefault="007800EB">
            <w:pPr>
              <w:jc w:val="center"/>
              <w:rPr>
                <w:rFonts w:ascii="仿宋_GB2312" w:eastAsia="仿宋_GB2312" w:hAnsi="仿宋_GB2312" w:cs="仿宋_GB2312"/>
                <w:sz w:val="28"/>
                <w:szCs w:val="28"/>
              </w:rPr>
            </w:pPr>
          </w:p>
        </w:tc>
        <w:tc>
          <w:tcPr>
            <w:tcW w:w="1759"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联系电话</w:t>
            </w:r>
          </w:p>
        </w:tc>
        <w:tc>
          <w:tcPr>
            <w:tcW w:w="2854" w:type="dxa"/>
            <w:vAlign w:val="center"/>
          </w:tcPr>
          <w:p w:rsidR="007800EB" w:rsidRDefault="007800EB">
            <w:pPr>
              <w:jc w:val="center"/>
              <w:rPr>
                <w:rFonts w:ascii="仿宋_GB2312" w:eastAsia="仿宋_GB2312" w:hAnsi="仿宋_GB2312" w:cs="仿宋_GB2312"/>
                <w:sz w:val="28"/>
                <w:szCs w:val="28"/>
              </w:rPr>
            </w:pPr>
          </w:p>
        </w:tc>
      </w:tr>
      <w:tr w:rsidR="007800EB">
        <w:trPr>
          <w:trHeight w:val="90"/>
        </w:trPr>
        <w:tc>
          <w:tcPr>
            <w:tcW w:w="1622"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联 系 人</w:t>
            </w:r>
          </w:p>
        </w:tc>
        <w:tc>
          <w:tcPr>
            <w:tcW w:w="3406" w:type="dxa"/>
            <w:vAlign w:val="center"/>
          </w:tcPr>
          <w:p w:rsidR="007800EB" w:rsidRDefault="007800EB">
            <w:pPr>
              <w:jc w:val="center"/>
              <w:rPr>
                <w:rFonts w:ascii="仿宋_GB2312" w:eastAsia="仿宋_GB2312" w:hAnsi="仿宋_GB2312" w:cs="仿宋_GB2312"/>
                <w:sz w:val="28"/>
                <w:szCs w:val="28"/>
              </w:rPr>
            </w:pPr>
          </w:p>
        </w:tc>
        <w:tc>
          <w:tcPr>
            <w:tcW w:w="1759" w:type="dxa"/>
            <w:vAlign w:val="center"/>
          </w:tcPr>
          <w:p w:rsidR="007800EB" w:rsidRDefault="00D67590">
            <w:pPr>
              <w:jc w:val="center"/>
              <w:rPr>
                <w:rFonts w:ascii="黑体" w:eastAsia="黑体" w:hAnsi="黑体" w:cs="黑体"/>
                <w:sz w:val="28"/>
                <w:szCs w:val="28"/>
              </w:rPr>
            </w:pPr>
            <w:r>
              <w:rPr>
                <w:rFonts w:ascii="黑体" w:eastAsia="黑体" w:hAnsi="黑体" w:cs="黑体" w:hint="eastAsia"/>
                <w:sz w:val="28"/>
                <w:szCs w:val="28"/>
              </w:rPr>
              <w:t>联系电话</w:t>
            </w:r>
          </w:p>
        </w:tc>
        <w:tc>
          <w:tcPr>
            <w:tcW w:w="2854" w:type="dxa"/>
            <w:vAlign w:val="center"/>
          </w:tcPr>
          <w:p w:rsidR="007800EB" w:rsidRDefault="007800EB">
            <w:pPr>
              <w:jc w:val="center"/>
              <w:rPr>
                <w:rFonts w:ascii="仿宋_GB2312" w:eastAsia="仿宋_GB2312" w:hAnsi="仿宋_GB2312" w:cs="仿宋_GB2312"/>
                <w:sz w:val="28"/>
                <w:szCs w:val="28"/>
              </w:rPr>
            </w:pPr>
          </w:p>
        </w:tc>
      </w:tr>
      <w:tr w:rsidR="007800EB">
        <w:trPr>
          <w:trHeight w:val="90"/>
        </w:trPr>
        <w:tc>
          <w:tcPr>
            <w:tcW w:w="1622" w:type="dxa"/>
            <w:vAlign w:val="center"/>
          </w:tcPr>
          <w:p w:rsidR="007800EB" w:rsidRDefault="00D67590">
            <w:pPr>
              <w:jc w:val="center"/>
              <w:rPr>
                <w:rFonts w:ascii="黑体" w:eastAsia="黑体" w:hAnsi="黑体" w:cs="黑体"/>
                <w:color w:val="000000"/>
                <w:sz w:val="28"/>
                <w:szCs w:val="28"/>
              </w:rPr>
            </w:pPr>
            <w:r>
              <w:rPr>
                <w:rFonts w:ascii="黑体" w:eastAsia="黑体" w:hAnsi="黑体" w:cs="黑体" w:hint="eastAsia"/>
                <w:color w:val="000000"/>
                <w:sz w:val="28"/>
                <w:szCs w:val="28"/>
              </w:rPr>
              <w:t>重大风险</w:t>
            </w:r>
          </w:p>
          <w:p w:rsidR="007800EB" w:rsidRDefault="00D67590">
            <w:pPr>
              <w:jc w:val="center"/>
              <w:rPr>
                <w:rFonts w:ascii="黑体" w:eastAsia="黑体" w:hAnsi="黑体" w:cs="黑体"/>
                <w:color w:val="000000"/>
                <w:sz w:val="28"/>
                <w:szCs w:val="28"/>
              </w:rPr>
            </w:pPr>
            <w:r>
              <w:rPr>
                <w:rFonts w:ascii="黑体" w:eastAsia="黑体" w:hAnsi="黑体" w:cs="黑体" w:hint="eastAsia"/>
                <w:color w:val="000000"/>
                <w:sz w:val="28"/>
                <w:szCs w:val="28"/>
              </w:rPr>
              <w:t>危险源清单</w:t>
            </w:r>
          </w:p>
        </w:tc>
        <w:tc>
          <w:tcPr>
            <w:tcW w:w="8019" w:type="dxa"/>
            <w:gridSpan w:val="3"/>
            <w:vAlign w:val="center"/>
          </w:tcPr>
          <w:p w:rsidR="007800EB" w:rsidRDefault="00D67590">
            <w:pPr>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（详见附件）</w:t>
            </w:r>
          </w:p>
        </w:tc>
      </w:tr>
      <w:tr w:rsidR="007800EB">
        <w:trPr>
          <w:trHeight w:val="3470"/>
        </w:trPr>
        <w:tc>
          <w:tcPr>
            <w:tcW w:w="1622" w:type="dxa"/>
            <w:vAlign w:val="center"/>
          </w:tcPr>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水利</w:t>
            </w:r>
          </w:p>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生产经营</w:t>
            </w:r>
          </w:p>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单位意见</w:t>
            </w:r>
          </w:p>
        </w:tc>
        <w:tc>
          <w:tcPr>
            <w:tcW w:w="8019" w:type="dxa"/>
            <w:gridSpan w:val="3"/>
          </w:tcPr>
          <w:p w:rsidR="007800EB" w:rsidRDefault="00D67590">
            <w:pPr>
              <w:rPr>
                <w:sz w:val="28"/>
                <w:szCs w:val="28"/>
              </w:rPr>
            </w:pPr>
            <w:r>
              <w:rPr>
                <w:rFonts w:ascii="仿宋_GB2312" w:eastAsia="仿宋_GB2312" w:hAnsi="仿宋_GB2312" w:cs="仿宋_GB2312" w:hint="eastAsia"/>
                <w:sz w:val="28"/>
                <w:szCs w:val="28"/>
              </w:rPr>
              <w:t>单位承诺：我单位所提供资料真实有效,并承担相应法律责任。</w:t>
            </w:r>
          </w:p>
          <w:p w:rsidR="007800EB" w:rsidRDefault="007800EB">
            <w:pPr>
              <w:rPr>
                <w:sz w:val="28"/>
                <w:szCs w:val="28"/>
              </w:rPr>
            </w:pPr>
          </w:p>
          <w:p w:rsidR="007800EB" w:rsidRDefault="00D6759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
          <w:p w:rsidR="007800EB" w:rsidRDefault="00D6759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单位负责人签字：</w:t>
            </w:r>
          </w:p>
          <w:p w:rsidR="007800EB" w:rsidRDefault="00D6759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年  月  日（单位盖章）</w:t>
            </w:r>
          </w:p>
        </w:tc>
      </w:tr>
      <w:tr w:rsidR="007800EB">
        <w:trPr>
          <w:trHeight w:val="3818"/>
        </w:trPr>
        <w:tc>
          <w:tcPr>
            <w:tcW w:w="1622" w:type="dxa"/>
            <w:vAlign w:val="center"/>
          </w:tcPr>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水行政</w:t>
            </w:r>
          </w:p>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主管部门</w:t>
            </w:r>
          </w:p>
          <w:p w:rsidR="007800EB" w:rsidRDefault="00D67590">
            <w:pPr>
              <w:spacing w:line="400" w:lineRule="exact"/>
              <w:jc w:val="center"/>
              <w:rPr>
                <w:rFonts w:ascii="黑体" w:eastAsia="黑体" w:hAnsi="黑体" w:cs="黑体"/>
                <w:sz w:val="28"/>
                <w:szCs w:val="28"/>
              </w:rPr>
            </w:pPr>
            <w:r>
              <w:rPr>
                <w:rFonts w:ascii="黑体" w:eastAsia="黑体" w:hAnsi="黑体" w:cs="黑体" w:hint="eastAsia"/>
                <w:sz w:val="28"/>
                <w:szCs w:val="28"/>
              </w:rPr>
              <w:t>备案意见</w:t>
            </w:r>
          </w:p>
        </w:tc>
        <w:tc>
          <w:tcPr>
            <w:tcW w:w="8019" w:type="dxa"/>
            <w:gridSpan w:val="3"/>
            <w:vAlign w:val="center"/>
          </w:tcPr>
          <w:p w:rsidR="007800EB" w:rsidRDefault="007800EB">
            <w:pPr>
              <w:ind w:firstLineChars="1300" w:firstLine="3640"/>
              <w:jc w:val="left"/>
              <w:rPr>
                <w:rFonts w:ascii="仿宋_GB2312" w:eastAsia="仿宋_GB2312" w:hAnsi="仿宋_GB2312" w:cs="仿宋_GB2312"/>
                <w:color w:val="FF0000"/>
                <w:sz w:val="28"/>
                <w:szCs w:val="28"/>
              </w:rPr>
            </w:pPr>
          </w:p>
          <w:p w:rsidR="007800EB" w:rsidRDefault="007800EB">
            <w:pPr>
              <w:ind w:firstLineChars="1500" w:firstLine="4200"/>
              <w:jc w:val="left"/>
              <w:rPr>
                <w:rFonts w:ascii="仿宋_GB2312" w:eastAsia="仿宋_GB2312" w:hAnsi="仿宋_GB2312" w:cs="仿宋_GB2312"/>
                <w:sz w:val="28"/>
                <w:szCs w:val="28"/>
              </w:rPr>
            </w:pPr>
          </w:p>
          <w:p w:rsidR="007800EB" w:rsidRDefault="007800EB">
            <w:pPr>
              <w:ind w:firstLineChars="1500" w:firstLine="4200"/>
              <w:jc w:val="left"/>
              <w:rPr>
                <w:rFonts w:ascii="仿宋_GB2312" w:eastAsia="仿宋_GB2312" w:hAnsi="仿宋_GB2312" w:cs="仿宋_GB2312"/>
                <w:sz w:val="28"/>
                <w:szCs w:val="28"/>
              </w:rPr>
            </w:pPr>
          </w:p>
          <w:p w:rsidR="007800EB" w:rsidRDefault="007800EB">
            <w:pPr>
              <w:ind w:firstLineChars="1500" w:firstLine="4200"/>
              <w:jc w:val="left"/>
              <w:rPr>
                <w:rFonts w:ascii="仿宋_GB2312" w:eastAsia="仿宋_GB2312" w:hAnsi="仿宋_GB2312" w:cs="仿宋_GB2312"/>
                <w:sz w:val="28"/>
                <w:szCs w:val="28"/>
              </w:rPr>
            </w:pPr>
          </w:p>
          <w:p w:rsidR="007800EB" w:rsidRDefault="00D67590">
            <w:pPr>
              <w:ind w:firstLineChars="1500" w:firstLine="4200"/>
              <w:jc w:val="left"/>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年  月  日（单位盖章）</w:t>
            </w:r>
          </w:p>
        </w:tc>
      </w:tr>
    </w:tbl>
    <w:p w:rsidR="007800EB" w:rsidRDefault="007800EB">
      <w:pPr>
        <w:overflowPunct w:val="0"/>
        <w:spacing w:afterLines="50" w:after="159" w:line="600" w:lineRule="exact"/>
        <w:jc w:val="center"/>
        <w:rPr>
          <w:rFonts w:ascii="宋体" w:hAnsi="宋体" w:cs="宋体"/>
          <w:b/>
          <w:bCs/>
          <w:color w:val="000000"/>
          <w:sz w:val="30"/>
          <w:szCs w:val="30"/>
        </w:rPr>
        <w:sectPr w:rsidR="007800EB">
          <w:footerReference w:type="default" r:id="rId41"/>
          <w:pgSz w:w="11906" w:h="16838"/>
          <w:pgMar w:top="1440" w:right="1803" w:bottom="1440" w:left="1803" w:header="851" w:footer="992" w:gutter="0"/>
          <w:cols w:space="720"/>
          <w:docGrid w:type="lines" w:linePitch="319"/>
        </w:sectPr>
      </w:pPr>
    </w:p>
    <w:p w:rsidR="007800EB" w:rsidRDefault="007800EB">
      <w:pPr>
        <w:widowControl/>
        <w:jc w:val="center"/>
        <w:textAlignment w:val="center"/>
        <w:outlineLvl w:val="1"/>
        <w:rPr>
          <w:rFonts w:ascii="宋体" w:hAnsi="宋体" w:cs="宋体"/>
          <w:b/>
          <w:bCs/>
          <w:color w:val="000000"/>
          <w:sz w:val="30"/>
          <w:szCs w:val="30"/>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A.7</w:t>
      </w:r>
      <w:r>
        <w:rPr>
          <w:rFonts w:ascii="黑体" w:eastAsia="黑体" w:hAnsi="黑体" w:cs="黑体" w:hint="eastAsia"/>
          <w:b/>
          <w:bCs/>
          <w:color w:val="000000"/>
          <w:sz w:val="32"/>
          <w:szCs w:val="32"/>
        </w:rPr>
        <w:t xml:space="preserve"> </w:t>
      </w:r>
      <w:r>
        <w:rPr>
          <w:rFonts w:ascii="宋体" w:hAnsi="宋体" w:cs="宋体" w:hint="eastAsia"/>
          <w:b/>
          <w:bCs/>
          <w:color w:val="000000"/>
          <w:sz w:val="32"/>
          <w:szCs w:val="32"/>
        </w:rPr>
        <w:t>危险</w:t>
      </w:r>
      <w:proofErr w:type="gramStart"/>
      <w:r>
        <w:rPr>
          <w:rFonts w:ascii="宋体" w:hAnsi="宋体" w:cs="宋体" w:hint="eastAsia"/>
          <w:b/>
          <w:bCs/>
          <w:color w:val="000000"/>
          <w:sz w:val="32"/>
          <w:szCs w:val="32"/>
        </w:rPr>
        <w:t>源信息</w:t>
      </w:r>
      <w:proofErr w:type="gramEnd"/>
      <w:r>
        <w:rPr>
          <w:rFonts w:ascii="宋体" w:hAnsi="宋体" w:cs="宋体" w:hint="eastAsia"/>
          <w:b/>
          <w:bCs/>
          <w:color w:val="000000"/>
          <w:sz w:val="32"/>
          <w:szCs w:val="32"/>
        </w:rPr>
        <w:t>表</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14283" w:type="dxa"/>
        <w:jc w:val="center"/>
        <w:tblLayout w:type="fixed"/>
        <w:tblLook w:val="04A0" w:firstRow="1" w:lastRow="0" w:firstColumn="1" w:lastColumn="0" w:noHBand="0" w:noVBand="1"/>
      </w:tblPr>
      <w:tblGrid>
        <w:gridCol w:w="509"/>
        <w:gridCol w:w="510"/>
        <w:gridCol w:w="510"/>
        <w:gridCol w:w="510"/>
        <w:gridCol w:w="510"/>
        <w:gridCol w:w="510"/>
        <w:gridCol w:w="510"/>
        <w:gridCol w:w="510"/>
        <w:gridCol w:w="510"/>
        <w:gridCol w:w="595"/>
        <w:gridCol w:w="596"/>
        <w:gridCol w:w="510"/>
        <w:gridCol w:w="510"/>
        <w:gridCol w:w="510"/>
        <w:gridCol w:w="510"/>
        <w:gridCol w:w="510"/>
        <w:gridCol w:w="510"/>
        <w:gridCol w:w="850"/>
        <w:gridCol w:w="510"/>
        <w:gridCol w:w="510"/>
        <w:gridCol w:w="511"/>
        <w:gridCol w:w="510"/>
        <w:gridCol w:w="510"/>
        <w:gridCol w:w="511"/>
        <w:gridCol w:w="510"/>
        <w:gridCol w:w="510"/>
        <w:gridCol w:w="511"/>
      </w:tblGrid>
      <w:tr w:rsidR="007800EB">
        <w:trPr>
          <w:trHeight w:val="651"/>
          <w:tblHeader/>
          <w:jc w:val="center"/>
        </w:trPr>
        <w:tc>
          <w:tcPr>
            <w:tcW w:w="510" w:type="dxa"/>
            <w:vMerge w:val="restart"/>
            <w:vAlign w:val="center"/>
          </w:tcPr>
          <w:p w:rsidR="007800EB" w:rsidRDefault="00D67590">
            <w:pPr>
              <w:widowControl/>
              <w:overflowPunct w:val="0"/>
              <w:spacing w:line="260" w:lineRule="exact"/>
              <w:jc w:val="center"/>
              <w:rPr>
                <w:rFonts w:ascii="黑体" w:eastAsia="黑体" w:hAnsi="黑体" w:cs="黑体"/>
                <w:kern w:val="0"/>
                <w:sz w:val="24"/>
              </w:rPr>
            </w:pPr>
            <w:r>
              <w:rPr>
                <w:rFonts w:ascii="黑体" w:eastAsia="黑体" w:hAnsi="黑体" w:cs="黑体" w:hint="eastAsia"/>
                <w:kern w:val="0"/>
                <w:sz w:val="24"/>
              </w:rPr>
              <w:t>序号</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类别</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项目</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危险源名称</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事故诱因</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可能导致的后果</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危险源级别</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风险等级</w:t>
            </w:r>
          </w:p>
        </w:tc>
        <w:tc>
          <w:tcPr>
            <w:tcW w:w="51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位置</w:t>
            </w:r>
          </w:p>
        </w:tc>
        <w:tc>
          <w:tcPr>
            <w:tcW w:w="1191" w:type="dxa"/>
            <w:gridSpan w:val="2"/>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监测方式</w:t>
            </w:r>
          </w:p>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及频次</w:t>
            </w:r>
          </w:p>
        </w:tc>
        <w:tc>
          <w:tcPr>
            <w:tcW w:w="3059" w:type="dxa"/>
            <w:gridSpan w:val="6"/>
            <w:vAlign w:val="center"/>
          </w:tcPr>
          <w:p w:rsidR="007800EB" w:rsidRDefault="00D67590">
            <w:pPr>
              <w:widowControl/>
              <w:overflowPunct w:val="0"/>
              <w:adjustRightInd w:val="0"/>
              <w:snapToGrid w:val="0"/>
              <w:spacing w:line="260" w:lineRule="exact"/>
              <w:jc w:val="center"/>
              <w:rPr>
                <w:rFonts w:ascii="黑体" w:eastAsia="黑体" w:hAnsi="黑体" w:cs="黑体"/>
              </w:rPr>
            </w:pPr>
            <w:r>
              <w:rPr>
                <w:rFonts w:ascii="黑体" w:eastAsia="黑体" w:hAnsi="黑体" w:cs="黑体" w:hint="eastAsia"/>
                <w:kern w:val="0"/>
                <w:sz w:val="24"/>
              </w:rPr>
              <w:t>管控措施</w:t>
            </w:r>
          </w:p>
        </w:tc>
        <w:tc>
          <w:tcPr>
            <w:tcW w:w="850" w:type="dxa"/>
            <w:vMerge w:val="restart"/>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较大及以上风险危险源预警条件</w:t>
            </w:r>
          </w:p>
        </w:tc>
        <w:tc>
          <w:tcPr>
            <w:tcW w:w="1531" w:type="dxa"/>
            <w:gridSpan w:val="3"/>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监督</w:t>
            </w:r>
          </w:p>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责任人</w:t>
            </w:r>
          </w:p>
        </w:tc>
        <w:tc>
          <w:tcPr>
            <w:tcW w:w="1531" w:type="dxa"/>
            <w:gridSpan w:val="3"/>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组织管控</w:t>
            </w:r>
          </w:p>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责任人</w:t>
            </w:r>
          </w:p>
        </w:tc>
        <w:tc>
          <w:tcPr>
            <w:tcW w:w="1531" w:type="dxa"/>
            <w:gridSpan w:val="3"/>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现场管控</w:t>
            </w:r>
          </w:p>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责任人</w:t>
            </w:r>
          </w:p>
        </w:tc>
      </w:tr>
      <w:tr w:rsidR="007800EB">
        <w:trPr>
          <w:trHeight w:val="808"/>
          <w:tblHeader/>
          <w:jc w:val="center"/>
        </w:trPr>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95" w:type="dxa"/>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人</w:t>
            </w:r>
          </w:p>
          <w:p w:rsidR="007800EB" w:rsidRDefault="00D67590">
            <w:pPr>
              <w:widowControl/>
              <w:overflowPunct w:val="0"/>
              <w:adjustRightInd w:val="0"/>
              <w:snapToGrid w:val="0"/>
              <w:spacing w:line="260" w:lineRule="exact"/>
              <w:jc w:val="center"/>
              <w:rPr>
                <w:rFonts w:ascii="黑体" w:eastAsia="黑体" w:hAnsi="黑体" w:cs="黑体"/>
              </w:rPr>
            </w:pPr>
            <w:r>
              <w:rPr>
                <w:rFonts w:ascii="黑体" w:eastAsia="黑体" w:hAnsi="黑体" w:cs="黑体" w:hint="eastAsia"/>
                <w:kern w:val="0"/>
                <w:sz w:val="24"/>
              </w:rPr>
              <w:t>工 监 测</w:t>
            </w:r>
          </w:p>
        </w:tc>
        <w:tc>
          <w:tcPr>
            <w:tcW w:w="595" w:type="dxa"/>
            <w:vAlign w:val="center"/>
          </w:tcPr>
          <w:p w:rsidR="007800EB" w:rsidRDefault="00D67590">
            <w:pPr>
              <w:widowControl/>
              <w:overflowPunct w:val="0"/>
              <w:adjustRightInd w:val="0"/>
              <w:snapToGrid w:val="0"/>
              <w:spacing w:line="260" w:lineRule="exact"/>
              <w:jc w:val="center"/>
              <w:rPr>
                <w:rFonts w:ascii="黑体" w:eastAsia="黑体" w:hAnsi="黑体" w:cs="黑体"/>
                <w:kern w:val="0"/>
                <w:sz w:val="24"/>
              </w:rPr>
            </w:pPr>
            <w:r>
              <w:rPr>
                <w:rFonts w:ascii="黑体" w:eastAsia="黑体" w:hAnsi="黑体" w:cs="黑体" w:hint="eastAsia"/>
                <w:kern w:val="0"/>
                <w:sz w:val="24"/>
              </w:rPr>
              <w:t>自</w:t>
            </w:r>
          </w:p>
          <w:p w:rsidR="007800EB" w:rsidRDefault="00D67590">
            <w:pPr>
              <w:widowControl/>
              <w:overflowPunct w:val="0"/>
              <w:adjustRightInd w:val="0"/>
              <w:snapToGrid w:val="0"/>
              <w:spacing w:line="260" w:lineRule="exact"/>
              <w:jc w:val="center"/>
              <w:rPr>
                <w:rFonts w:ascii="黑体" w:eastAsia="黑体" w:hAnsi="黑体" w:cs="黑体"/>
                <w:sz w:val="24"/>
              </w:rPr>
            </w:pPr>
            <w:r>
              <w:rPr>
                <w:rFonts w:ascii="黑体" w:eastAsia="黑体" w:hAnsi="黑体" w:cs="黑体" w:hint="eastAsia"/>
                <w:kern w:val="0"/>
                <w:sz w:val="24"/>
              </w:rPr>
              <w:t>动监测</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风险公告</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kern w:val="0"/>
                <w:sz w:val="24"/>
              </w:rPr>
              <w:t>工程技术措施</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管理措施</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教育培训措施</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个体防护措施</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应急处置措施</w:t>
            </w:r>
          </w:p>
        </w:tc>
        <w:tc>
          <w:tcPr>
            <w:tcW w:w="848" w:type="dxa"/>
            <w:vMerge/>
            <w:vAlign w:val="center"/>
          </w:tcPr>
          <w:p w:rsidR="007800EB" w:rsidRDefault="007800EB">
            <w:pPr>
              <w:pStyle w:val="a6"/>
              <w:widowControl/>
              <w:snapToGrid w:val="0"/>
              <w:spacing w:line="260" w:lineRule="exact"/>
              <w:jc w:val="center"/>
              <w:rPr>
                <w:rFonts w:ascii="黑体" w:eastAsia="黑体" w:hAnsi="黑体" w:cs="黑体"/>
                <w:sz w:val="24"/>
              </w:rPr>
            </w:pP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单位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姓名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lang w:val="en"/>
              </w:rPr>
            </w:pPr>
            <w:r>
              <w:rPr>
                <w:rFonts w:ascii="黑体" w:eastAsia="黑体" w:hAnsi="黑体" w:cs="黑体" w:hint="eastAsia"/>
                <w:sz w:val="24"/>
              </w:rPr>
              <w:t>联系方式</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单位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姓名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联系方式</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单位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姓名</w:t>
            </w:r>
          </w:p>
        </w:tc>
        <w:tc>
          <w:tcPr>
            <w:tcW w:w="510" w:type="dxa"/>
            <w:vAlign w:val="center"/>
          </w:tcPr>
          <w:p w:rsidR="007800EB" w:rsidRDefault="00D67590">
            <w:pPr>
              <w:pStyle w:val="a6"/>
              <w:widowControl/>
              <w:snapToGrid w:val="0"/>
              <w:spacing w:line="260" w:lineRule="exact"/>
              <w:jc w:val="center"/>
              <w:rPr>
                <w:rFonts w:ascii="黑体" w:eastAsia="黑体" w:hAnsi="黑体" w:cs="黑体"/>
                <w:sz w:val="24"/>
              </w:rPr>
            </w:pPr>
            <w:r>
              <w:rPr>
                <w:rFonts w:ascii="黑体" w:eastAsia="黑体" w:hAnsi="黑体" w:cs="黑体" w:hint="eastAsia"/>
                <w:sz w:val="24"/>
              </w:rPr>
              <w:t>联系方式</w:t>
            </w: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r w:rsidR="007800EB">
        <w:trPr>
          <w:trHeight w:val="567"/>
          <w:jc w:val="center"/>
        </w:trPr>
        <w:tc>
          <w:tcPr>
            <w:tcW w:w="510"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center"/>
              <w:rPr>
                <w:rFonts w:ascii="宋体" w:hAnsi="宋体" w:cs="宋体"/>
                <w:kern w:val="0"/>
                <w:szCs w:val="21"/>
              </w:rPr>
            </w:pPr>
          </w:p>
        </w:tc>
        <w:tc>
          <w:tcPr>
            <w:tcW w:w="595"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510" w:type="dxa"/>
            <w:vAlign w:val="center"/>
          </w:tcPr>
          <w:p w:rsidR="007800EB" w:rsidRDefault="007800EB">
            <w:pPr>
              <w:widowControl/>
              <w:overflowPunct w:val="0"/>
              <w:adjustRightInd w:val="0"/>
              <w:snapToGrid w:val="0"/>
              <w:jc w:val="left"/>
              <w:rPr>
                <w:rFonts w:ascii="宋体" w:hAnsi="宋体" w:cs="宋体"/>
                <w:kern w:val="0"/>
                <w:szCs w:val="21"/>
              </w:rPr>
            </w:pPr>
          </w:p>
        </w:tc>
        <w:tc>
          <w:tcPr>
            <w:tcW w:w="85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c>
          <w:tcPr>
            <w:tcW w:w="510" w:type="dxa"/>
            <w:vAlign w:val="center"/>
          </w:tcPr>
          <w:p w:rsidR="007800EB" w:rsidRDefault="007800EB">
            <w:pPr>
              <w:widowControl/>
              <w:overflowPunct w:val="0"/>
              <w:adjustRightInd w:val="0"/>
              <w:snapToGrid w:val="0"/>
              <w:jc w:val="center"/>
              <w:rPr>
                <w:rFonts w:ascii="宋体" w:hAnsi="宋体" w:cs="宋体"/>
                <w:kern w:val="0"/>
                <w:szCs w:val="21"/>
              </w:rPr>
            </w:pPr>
          </w:p>
        </w:tc>
      </w:tr>
    </w:tbl>
    <w:p w:rsidR="007800EB" w:rsidRDefault="00D67590">
      <w:pPr>
        <w:rPr>
          <w:rFonts w:ascii="仿宋_GB2312" w:eastAsia="仿宋_GB2312" w:hAnsi="仿宋_GB2312" w:cs="仿宋_GB2312"/>
          <w:sz w:val="32"/>
          <w:szCs w:val="32"/>
        </w:rPr>
        <w:sectPr w:rsidR="007800EB">
          <w:footerReference w:type="default" r:id="rId42"/>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kern w:val="0"/>
          <w:sz w:val="32"/>
          <w:szCs w:val="32"/>
        </w:rPr>
        <w:t>制表人：                            审核人：                      日期：    年  月  日</w:t>
      </w:r>
    </w:p>
    <w:p w:rsidR="007800EB" w:rsidRDefault="007800EB">
      <w:pPr>
        <w:widowControl/>
        <w:spacing w:line="600" w:lineRule="exact"/>
        <w:jc w:val="center"/>
        <w:textAlignment w:val="center"/>
        <w:rPr>
          <w:rFonts w:ascii="宋体" w:hAnsi="宋体" w:cs="宋体"/>
          <w:color w:val="000000"/>
          <w:sz w:val="32"/>
          <w:szCs w:val="32"/>
        </w:rPr>
      </w:pPr>
    </w:p>
    <w:p w:rsidR="007800EB" w:rsidRDefault="00D67590">
      <w:pPr>
        <w:widowControl/>
        <w:spacing w:line="600" w:lineRule="exact"/>
        <w:jc w:val="center"/>
        <w:textAlignment w:val="center"/>
        <w:rPr>
          <w:rFonts w:ascii="宋体" w:hAnsi="宋体" w:cs="宋体"/>
          <w:b/>
          <w:bCs/>
          <w:color w:val="FF0000"/>
          <w:sz w:val="32"/>
          <w:szCs w:val="32"/>
        </w:rPr>
      </w:pPr>
      <w:r>
        <w:rPr>
          <w:rFonts w:ascii="宋体" w:hAnsi="宋体" w:cs="宋体" w:hint="eastAsia"/>
          <w:b/>
          <w:bCs/>
          <w:color w:val="000000"/>
          <w:sz w:val="32"/>
          <w:szCs w:val="32"/>
        </w:rPr>
        <w:t>A.8 危险源辨识与风险评价报告主要内容</w:t>
      </w:r>
    </w:p>
    <w:p w:rsidR="007800EB" w:rsidRDefault="007800EB">
      <w:pPr>
        <w:spacing w:line="600" w:lineRule="exact"/>
        <w:jc w:val="center"/>
        <w:rPr>
          <w:rFonts w:ascii="宋体" w:hAnsi="宋体" w:cs="宋体"/>
          <w:color w:val="000000"/>
          <w:sz w:val="32"/>
          <w:szCs w:val="32"/>
        </w:rPr>
      </w:pP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t>1.单位（工程）简介</w:t>
      </w:r>
    </w:p>
    <w:p w:rsidR="007800EB" w:rsidRDefault="00D67590">
      <w:pPr>
        <w:overflowPunct w:val="0"/>
        <w:spacing w:line="60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①水利水电工程施工：工程概况，包括施工作业环境、危险物质仓储区、生活及办公区自然环境、危险特性、工作或作业持续时间等；安全生产管理基本情况，“六项机制”工作组织机构。</w:t>
      </w:r>
    </w:p>
    <w:p w:rsidR="007800EB" w:rsidRDefault="00D67590">
      <w:pPr>
        <w:overflowPunct w:val="0"/>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②水利水电工程运行：工程概况，包括工程组成、工程等别、设计标准、抗震等级、主要特征值、工程地质条件及周边自然环境等；运行管理概况，包括工程建设年份及运行时间、安全鉴定情况、除险加固情况，危险物质仓储区、生活及办公区的危险特性描述等；安全生产管理基本情况，</w:t>
      </w:r>
      <w:r>
        <w:rPr>
          <w:rFonts w:ascii="仿宋_GB2312" w:eastAsia="仿宋_GB2312" w:hAnsi="仿宋_GB2312" w:cs="仿宋_GB2312" w:hint="eastAsia"/>
          <w:sz w:val="32"/>
          <w:szCs w:val="32"/>
        </w:rPr>
        <w:t>“六项机制”工作组织机构。</w:t>
      </w:r>
    </w:p>
    <w:p w:rsidR="007800EB" w:rsidRDefault="00D67590">
      <w:pPr>
        <w:overflowPunct w:val="0"/>
        <w:spacing w:line="6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③其他水利生产经营单位：单位概况，包括主要职能、隶属关系、内设机构、人员配备、场所设备等；安全生产管理基本情况，</w:t>
      </w:r>
      <w:r>
        <w:rPr>
          <w:rFonts w:ascii="仿宋_GB2312" w:eastAsia="仿宋_GB2312" w:hAnsi="仿宋_GB2312" w:cs="仿宋_GB2312" w:hint="eastAsia"/>
          <w:sz w:val="32"/>
          <w:szCs w:val="32"/>
        </w:rPr>
        <w:t>“六项机制”工作组织机构。</w:t>
      </w: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t>2.辨识与评价主要依据</w:t>
      </w: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t>3.辨识与评价方法</w:t>
      </w:r>
    </w:p>
    <w:p w:rsidR="007800EB" w:rsidRDefault="00D67590">
      <w:pPr>
        <w:overflowPunct w:val="0"/>
        <w:spacing w:line="60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结合实际选用评价方法，制定评价标准。</w:t>
      </w:r>
    </w:p>
    <w:p w:rsidR="007800EB" w:rsidRDefault="00D67590">
      <w:pPr>
        <w:overflowPunct w:val="0"/>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4.辨识与评价内容</w:t>
      </w:r>
    </w:p>
    <w:p w:rsidR="007800EB" w:rsidRDefault="00D67590">
      <w:pPr>
        <w:overflowPunct w:val="0"/>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包括危险源名称、类别、级别、位置、事故诱因、可能导致的后果、风险等级等。</w:t>
      </w: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lastRenderedPageBreak/>
        <w:t>5.安全管控措施</w:t>
      </w:r>
    </w:p>
    <w:p w:rsidR="007800EB" w:rsidRDefault="00D67590">
      <w:pPr>
        <w:overflowPunct w:val="0"/>
        <w:spacing w:line="60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根据辨识与评价结果，对危险</w:t>
      </w:r>
      <w:proofErr w:type="gramStart"/>
      <w:r>
        <w:rPr>
          <w:rFonts w:ascii="仿宋_GB2312" w:eastAsia="仿宋_GB2312" w:hAnsi="仿宋_GB2312" w:cs="仿宋_GB2312" w:hint="eastAsia"/>
          <w:color w:val="000000"/>
          <w:sz w:val="32"/>
          <w:szCs w:val="32"/>
        </w:rPr>
        <w:t>源提出</w:t>
      </w:r>
      <w:proofErr w:type="gramEnd"/>
      <w:r>
        <w:rPr>
          <w:rFonts w:ascii="仿宋_GB2312" w:eastAsia="仿宋_GB2312" w:hAnsi="仿宋_GB2312" w:cs="仿宋_GB2312" w:hint="eastAsia"/>
          <w:color w:val="000000"/>
          <w:sz w:val="32"/>
          <w:szCs w:val="32"/>
        </w:rPr>
        <w:t>制度、技术、管理及应急处置等措施。</w:t>
      </w: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t>6.应急预案</w:t>
      </w:r>
    </w:p>
    <w:p w:rsidR="007800EB" w:rsidRDefault="00D67590">
      <w:pPr>
        <w:overflowPunct w:val="0"/>
        <w:spacing w:line="60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根据辨识与评价结果，提出相关应急预案或应急措施。</w:t>
      </w:r>
    </w:p>
    <w:p w:rsidR="007800EB" w:rsidRDefault="00D67590">
      <w:pPr>
        <w:overflowPunct w:val="0"/>
        <w:spacing w:line="600" w:lineRule="exact"/>
        <w:ind w:firstLineChars="200" w:firstLine="640"/>
        <w:jc w:val="left"/>
        <w:rPr>
          <w:rFonts w:ascii="黑体" w:eastAsia="黑体" w:hAnsi="黑体" w:cs="黑体"/>
          <w:color w:val="000000"/>
          <w:sz w:val="32"/>
          <w:szCs w:val="32"/>
        </w:rPr>
      </w:pPr>
      <w:r>
        <w:rPr>
          <w:rFonts w:ascii="黑体" w:eastAsia="黑体" w:hAnsi="黑体" w:cs="黑体" w:hint="eastAsia"/>
          <w:color w:val="000000"/>
          <w:sz w:val="32"/>
          <w:szCs w:val="32"/>
        </w:rPr>
        <w:t>7.管控责任</w:t>
      </w:r>
    </w:p>
    <w:p w:rsidR="007800EB" w:rsidRDefault="00D67590">
      <w:pPr>
        <w:overflowPunct w:val="0"/>
        <w:spacing w:line="60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结合实际明确每个危险源的现场管控责任人、组织管控责任人和监督责任人，</w:t>
      </w:r>
      <w:r>
        <w:rPr>
          <w:rFonts w:ascii="仿宋_GB2312" w:eastAsia="仿宋_GB2312" w:hAnsi="仿宋_GB2312" w:cs="仿宋_GB2312" w:hint="eastAsia"/>
          <w:sz w:val="32"/>
          <w:szCs w:val="32"/>
        </w:rPr>
        <w:t>建立风险管</w:t>
      </w:r>
      <w:proofErr w:type="gramStart"/>
      <w:r>
        <w:rPr>
          <w:rFonts w:ascii="仿宋_GB2312" w:eastAsia="仿宋_GB2312" w:hAnsi="仿宋_GB2312" w:cs="仿宋_GB2312" w:hint="eastAsia"/>
          <w:sz w:val="32"/>
          <w:szCs w:val="32"/>
        </w:rPr>
        <w:t>控责任</w:t>
      </w:r>
      <w:proofErr w:type="gramEnd"/>
      <w:r>
        <w:rPr>
          <w:rFonts w:ascii="仿宋_GB2312" w:eastAsia="仿宋_GB2312" w:hAnsi="仿宋_GB2312" w:cs="仿宋_GB2312" w:hint="eastAsia"/>
          <w:sz w:val="32"/>
          <w:szCs w:val="32"/>
        </w:rPr>
        <w:t>体系。</w:t>
      </w:r>
    </w:p>
    <w:p w:rsidR="007800EB" w:rsidRDefault="007800EB">
      <w:pPr>
        <w:overflowPunct w:val="0"/>
        <w:spacing w:line="600" w:lineRule="exact"/>
        <w:jc w:val="center"/>
        <w:rPr>
          <w:rFonts w:ascii="宋体" w:hAnsi="宋体" w:cs="宋体"/>
          <w:b/>
          <w:bCs/>
          <w:color w:val="000000"/>
          <w:sz w:val="28"/>
          <w:szCs w:val="28"/>
        </w:rPr>
      </w:pPr>
    </w:p>
    <w:p w:rsidR="007800EB" w:rsidRDefault="007800EB">
      <w:pPr>
        <w:widowControl/>
        <w:jc w:val="center"/>
        <w:textAlignment w:val="center"/>
        <w:outlineLvl w:val="1"/>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7800EB">
      <w:pPr>
        <w:widowControl/>
        <w:jc w:val="center"/>
        <w:textAlignment w:val="center"/>
        <w:rPr>
          <w:rFonts w:ascii="宋体" w:hAnsi="宋体" w:cs="宋体"/>
          <w:color w:val="000000"/>
          <w:sz w:val="32"/>
          <w:szCs w:val="32"/>
        </w:rPr>
      </w:pPr>
    </w:p>
    <w:p w:rsidR="007800EB" w:rsidRDefault="00D67590">
      <w:pPr>
        <w:widowControl/>
        <w:jc w:val="center"/>
        <w:textAlignment w:val="center"/>
        <w:rPr>
          <w:rFonts w:ascii="宋体" w:hAnsi="宋体" w:cs="宋体"/>
          <w:b/>
          <w:bCs/>
          <w:snapToGrid w:val="0"/>
          <w:color w:val="000000"/>
          <w:spacing w:val="6"/>
          <w:kern w:val="0"/>
          <w:sz w:val="32"/>
          <w:szCs w:val="32"/>
        </w:rPr>
      </w:pPr>
      <w:r>
        <w:rPr>
          <w:rFonts w:ascii="宋体" w:hAnsi="宋体" w:cs="宋体" w:hint="eastAsia"/>
          <w:b/>
          <w:bCs/>
          <w:color w:val="000000"/>
          <w:sz w:val="32"/>
          <w:szCs w:val="32"/>
        </w:rPr>
        <w:t>A.9 事故隐患整改通知书</w:t>
      </w:r>
      <w:bookmarkEnd w:id="139"/>
      <w:r>
        <w:rPr>
          <w:rFonts w:ascii="宋体" w:hAnsi="宋体" w:cs="宋体" w:hint="eastAsia"/>
          <w:b/>
          <w:bCs/>
          <w:color w:val="000000"/>
          <w:sz w:val="32"/>
          <w:szCs w:val="32"/>
        </w:rPr>
        <w:t xml:space="preserve"> </w:t>
      </w:r>
      <w:r>
        <w:rPr>
          <w:rFonts w:ascii="仿宋" w:eastAsia="仿宋" w:hAnsi="仿宋" w:cs="仿宋" w:hint="eastAsia"/>
          <w:b/>
          <w:bCs/>
          <w:snapToGrid w:val="0"/>
          <w:color w:val="000000"/>
          <w:spacing w:val="6"/>
          <w:kern w:val="0"/>
          <w:sz w:val="32"/>
          <w:szCs w:val="32"/>
        </w:rPr>
        <w:t xml:space="preserve">                    </w:t>
      </w:r>
      <w:r>
        <w:rPr>
          <w:rFonts w:ascii="仿宋" w:eastAsia="仿宋" w:hAnsi="仿宋" w:cs="仿宋" w:hint="eastAsia"/>
          <w:b/>
          <w:bCs/>
          <w:snapToGrid w:val="0"/>
          <w:color w:val="000000"/>
          <w:spacing w:val="6"/>
          <w:kern w:val="0"/>
          <w:sz w:val="24"/>
        </w:rPr>
        <w:t xml:space="preserve"> </w:t>
      </w:r>
    </w:p>
    <w:p w:rsidR="007800EB" w:rsidRDefault="007800EB">
      <w:pPr>
        <w:overflowPunct w:val="0"/>
        <w:ind w:firstLineChars="100" w:firstLine="210"/>
        <w:jc w:val="left"/>
        <w:rPr>
          <w:rFonts w:ascii="楷体" w:eastAsia="楷体" w:hAnsi="楷体" w:cs="楷体"/>
          <w:bCs/>
          <w:szCs w:val="21"/>
        </w:rPr>
      </w:pP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1697"/>
        <w:gridCol w:w="2988"/>
        <w:gridCol w:w="1112"/>
        <w:gridCol w:w="3224"/>
      </w:tblGrid>
      <w:tr w:rsidR="007800EB">
        <w:trPr>
          <w:trHeight w:val="8436"/>
          <w:jc w:val="center"/>
        </w:trPr>
        <w:tc>
          <w:tcPr>
            <w:tcW w:w="9021" w:type="dxa"/>
            <w:gridSpan w:val="4"/>
          </w:tcPr>
          <w:p w:rsidR="007800EB" w:rsidRDefault="00D67590">
            <w:pPr>
              <w:widowControl/>
              <w:overflowPunct w:val="0"/>
              <w:spacing w:line="600" w:lineRule="exact"/>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致：</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bookmarkStart w:id="140" w:name="_Toc28191"/>
            <w:bookmarkStart w:id="141" w:name="_Toc1517"/>
            <w:bookmarkStart w:id="142" w:name="_Toc7110"/>
            <w:bookmarkStart w:id="143" w:name="_Toc29512"/>
            <w:bookmarkStart w:id="144" w:name="_Toc27871"/>
            <w:r>
              <w:rPr>
                <w:rFonts w:ascii="仿宋_GB2312" w:eastAsia="仿宋_GB2312" w:hAnsi="仿宋_GB2312" w:cs="仿宋_GB2312" w:hint="eastAsia"/>
                <w:bCs/>
                <w:sz w:val="32"/>
                <w:szCs w:val="32"/>
              </w:rPr>
              <w:t>我单位于</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年</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月</w:t>
            </w:r>
            <w:r>
              <w:rPr>
                <w:rFonts w:ascii="仿宋_GB2312" w:eastAsia="仿宋_GB2312" w:hAnsi="仿宋_GB2312" w:cs="仿宋_GB2312" w:hint="eastAsia"/>
                <w:bCs/>
                <w:sz w:val="32"/>
                <w:szCs w:val="32"/>
                <w:u w:val="single"/>
              </w:rPr>
              <w:t xml:space="preserve">  </w:t>
            </w:r>
            <w:proofErr w:type="gramStart"/>
            <w:r>
              <w:rPr>
                <w:rFonts w:ascii="仿宋_GB2312" w:eastAsia="仿宋_GB2312" w:hAnsi="仿宋_GB2312" w:cs="仿宋_GB2312" w:hint="eastAsia"/>
                <w:bCs/>
                <w:sz w:val="32"/>
                <w:szCs w:val="32"/>
              </w:rPr>
              <w:t>日检查</w:t>
            </w:r>
            <w:proofErr w:type="gramEnd"/>
            <w:r>
              <w:rPr>
                <w:rFonts w:ascii="仿宋_GB2312" w:eastAsia="仿宋_GB2312" w:hAnsi="仿宋_GB2312" w:cs="仿宋_GB2312" w:hint="eastAsia"/>
                <w:bCs/>
                <w:sz w:val="32"/>
                <w:szCs w:val="32"/>
              </w:rPr>
              <w:t>了</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工程（单位），发现存在以下安全隐患：</w:t>
            </w:r>
            <w:bookmarkEnd w:id="140"/>
            <w:bookmarkEnd w:id="141"/>
            <w:bookmarkEnd w:id="142"/>
            <w:bookmarkEnd w:id="143"/>
            <w:bookmarkEnd w:id="144"/>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5.</w:t>
            </w:r>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p>
          <w:p w:rsidR="007800EB" w:rsidRDefault="007800EB">
            <w:pPr>
              <w:widowControl/>
              <w:overflowPunct w:val="0"/>
              <w:spacing w:line="600" w:lineRule="exact"/>
              <w:ind w:firstLineChars="200" w:firstLine="640"/>
              <w:rPr>
                <w:rFonts w:ascii="仿宋_GB2312" w:eastAsia="仿宋_GB2312" w:hAnsi="仿宋_GB2312" w:cs="仿宋_GB2312"/>
                <w:bCs/>
                <w:sz w:val="32"/>
                <w:szCs w:val="32"/>
              </w:rPr>
            </w:pPr>
            <w:bookmarkStart w:id="145" w:name="_Toc5333"/>
            <w:bookmarkStart w:id="146" w:name="_Toc2062"/>
            <w:bookmarkStart w:id="147" w:name="_Toc13360"/>
            <w:bookmarkStart w:id="148" w:name="_Toc12114"/>
            <w:bookmarkStart w:id="149" w:name="_Toc9500"/>
          </w:p>
          <w:p w:rsidR="007800EB" w:rsidRDefault="00D67590">
            <w:pPr>
              <w:widowControl/>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责令你单位对上述问题于</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日内整改完毕。整改完成后由单位负责人（参建单位现场管理机构主要负责人）组织验收合格后形成事故隐患整改回复报告单，经单位负责人（参建单位现场管理机构主要负责人）签字，并加盖单位公章，于</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年</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月</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日前将报告单报送</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hint="eastAsia"/>
                <w:bCs/>
                <w:sz w:val="32"/>
                <w:szCs w:val="32"/>
              </w:rPr>
              <w:t>。</w:t>
            </w:r>
            <w:bookmarkEnd w:id="145"/>
            <w:bookmarkEnd w:id="146"/>
            <w:bookmarkEnd w:id="147"/>
            <w:bookmarkEnd w:id="148"/>
            <w:bookmarkEnd w:id="149"/>
          </w:p>
          <w:p w:rsidR="007800EB" w:rsidRDefault="00D67590">
            <w:pPr>
              <w:widowControl/>
              <w:overflowPunct w:val="0"/>
              <w:spacing w:line="600" w:lineRule="exact"/>
              <w:ind w:firstLineChars="200" w:firstLine="640"/>
              <w:jc w:val="lef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w:t>
            </w:r>
          </w:p>
        </w:tc>
      </w:tr>
      <w:tr w:rsidR="007800EB">
        <w:trPr>
          <w:trHeight w:val="733"/>
          <w:jc w:val="center"/>
        </w:trPr>
        <w:tc>
          <w:tcPr>
            <w:tcW w:w="1697"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bookmarkStart w:id="150" w:name="_Toc17199"/>
            <w:bookmarkStart w:id="151" w:name="_Toc5085"/>
            <w:bookmarkStart w:id="152" w:name="_Toc16154"/>
            <w:bookmarkStart w:id="153" w:name="_Toc15364"/>
            <w:bookmarkStart w:id="154" w:name="_Toc8966"/>
            <w:r>
              <w:rPr>
                <w:rFonts w:ascii="仿宋_GB2312" w:eastAsia="仿宋_GB2312" w:hAnsi="仿宋_GB2312" w:cs="仿宋_GB2312" w:hint="eastAsia"/>
                <w:bCs/>
                <w:sz w:val="32"/>
                <w:szCs w:val="32"/>
              </w:rPr>
              <w:t>检查人</w:t>
            </w:r>
            <w:bookmarkEnd w:id="150"/>
            <w:bookmarkEnd w:id="151"/>
            <w:bookmarkEnd w:id="152"/>
            <w:bookmarkEnd w:id="153"/>
            <w:bookmarkEnd w:id="154"/>
          </w:p>
        </w:tc>
        <w:tc>
          <w:tcPr>
            <w:tcW w:w="2988" w:type="dxa"/>
            <w:vAlign w:val="center"/>
          </w:tcPr>
          <w:p w:rsidR="007800EB" w:rsidRDefault="007800EB">
            <w:pPr>
              <w:widowControl/>
              <w:overflowPunct w:val="0"/>
              <w:spacing w:line="600" w:lineRule="exact"/>
              <w:ind w:firstLineChars="200" w:firstLine="640"/>
              <w:jc w:val="center"/>
              <w:rPr>
                <w:rFonts w:ascii="仿宋_GB2312" w:eastAsia="仿宋_GB2312" w:hAnsi="仿宋_GB2312" w:cs="仿宋_GB2312"/>
                <w:bCs/>
                <w:sz w:val="32"/>
                <w:szCs w:val="32"/>
              </w:rPr>
            </w:pPr>
          </w:p>
        </w:tc>
        <w:tc>
          <w:tcPr>
            <w:tcW w:w="1112"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日期</w:t>
            </w:r>
          </w:p>
        </w:tc>
        <w:tc>
          <w:tcPr>
            <w:tcW w:w="3224"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color w:val="000000"/>
                <w:sz w:val="32"/>
                <w:szCs w:val="32"/>
              </w:rPr>
              <w:t>年  月  日</w:t>
            </w:r>
          </w:p>
        </w:tc>
      </w:tr>
      <w:tr w:rsidR="007800EB">
        <w:trPr>
          <w:trHeight w:val="733"/>
          <w:jc w:val="center"/>
        </w:trPr>
        <w:tc>
          <w:tcPr>
            <w:tcW w:w="1697"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签收人</w:t>
            </w:r>
          </w:p>
        </w:tc>
        <w:tc>
          <w:tcPr>
            <w:tcW w:w="2988" w:type="dxa"/>
            <w:vAlign w:val="center"/>
          </w:tcPr>
          <w:p w:rsidR="007800EB" w:rsidRDefault="007800EB">
            <w:pPr>
              <w:widowControl/>
              <w:overflowPunct w:val="0"/>
              <w:spacing w:line="600" w:lineRule="exact"/>
              <w:ind w:firstLineChars="200" w:firstLine="640"/>
              <w:jc w:val="center"/>
              <w:rPr>
                <w:rFonts w:ascii="仿宋_GB2312" w:eastAsia="仿宋_GB2312" w:hAnsi="仿宋_GB2312" w:cs="仿宋_GB2312"/>
                <w:bCs/>
                <w:sz w:val="32"/>
                <w:szCs w:val="32"/>
              </w:rPr>
            </w:pPr>
          </w:p>
        </w:tc>
        <w:tc>
          <w:tcPr>
            <w:tcW w:w="1112"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日期</w:t>
            </w:r>
          </w:p>
        </w:tc>
        <w:tc>
          <w:tcPr>
            <w:tcW w:w="3224" w:type="dxa"/>
            <w:vAlign w:val="center"/>
          </w:tcPr>
          <w:p w:rsidR="007800EB" w:rsidRDefault="00D67590">
            <w:pPr>
              <w:widowControl/>
              <w:overflowPunct w:val="0"/>
              <w:spacing w:line="60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年  月  日</w:t>
            </w:r>
          </w:p>
        </w:tc>
      </w:tr>
    </w:tbl>
    <w:p w:rsidR="007800EB" w:rsidRDefault="007800EB">
      <w:pPr>
        <w:widowControl/>
        <w:jc w:val="center"/>
        <w:textAlignment w:val="center"/>
        <w:outlineLvl w:val="1"/>
        <w:rPr>
          <w:rFonts w:ascii="宋体" w:hAnsi="宋体" w:cs="宋体"/>
          <w:color w:val="000000"/>
          <w:sz w:val="32"/>
          <w:szCs w:val="32"/>
        </w:rPr>
      </w:pPr>
      <w:bookmarkStart w:id="155" w:name="_Toc5006"/>
    </w:p>
    <w:p w:rsidR="007800EB" w:rsidRDefault="007800EB">
      <w:pPr>
        <w:widowControl/>
        <w:jc w:val="center"/>
        <w:textAlignment w:val="center"/>
        <w:rPr>
          <w:rFonts w:ascii="宋体" w:hAnsi="宋体" w:cs="宋体"/>
          <w:b/>
          <w:bCs/>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A.10事故隐患整改回复报告单</w:t>
      </w:r>
      <w:bookmarkEnd w:id="155"/>
    </w:p>
    <w:p w:rsidR="007800EB" w:rsidRDefault="007800EB">
      <w:pPr>
        <w:overflowPunct w:val="0"/>
        <w:ind w:firstLineChars="100" w:firstLine="210"/>
        <w:jc w:val="left"/>
        <w:rPr>
          <w:rFonts w:ascii="楷体" w:eastAsia="楷体" w:hAnsi="楷体" w:cs="楷体"/>
          <w:bCs/>
          <w:szCs w:val="21"/>
        </w:rPr>
      </w:pP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14"/>
        <w:gridCol w:w="2132"/>
        <w:gridCol w:w="1789"/>
        <w:gridCol w:w="2646"/>
      </w:tblGrid>
      <w:tr w:rsidR="007800EB">
        <w:trPr>
          <w:trHeight w:val="9641"/>
        </w:trPr>
        <w:tc>
          <w:tcPr>
            <w:tcW w:w="9081" w:type="dxa"/>
            <w:gridSpan w:val="4"/>
            <w:tcBorders>
              <w:top w:val="single" w:sz="2" w:space="0" w:color="000000"/>
              <w:bottom w:val="single" w:sz="2" w:space="0" w:color="000000"/>
            </w:tcBorders>
          </w:tcPr>
          <w:p w:rsidR="007800EB" w:rsidRDefault="00D67590">
            <w:pPr>
              <w:widowControl/>
              <w:kinsoku w:val="0"/>
              <w:overflowPunct w:val="0"/>
              <w:autoSpaceDE w:val="0"/>
              <w:autoSpaceDN w:val="0"/>
              <w:adjustRightInd w:val="0"/>
              <w:snapToGrid w:val="0"/>
              <w:spacing w:line="600" w:lineRule="exac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致：</w:t>
            </w:r>
          </w:p>
          <w:p w:rsidR="007800EB" w:rsidRDefault="00D67590">
            <w:pPr>
              <w:widowControl/>
              <w:kinsoku w:val="0"/>
              <w:overflowPunct w:val="0"/>
              <w:autoSpaceDE w:val="0"/>
              <w:autoSpaceDN w:val="0"/>
              <w:adjustRightInd w:val="0"/>
              <w:snapToGrid w:val="0"/>
              <w:spacing w:line="600" w:lineRule="exact"/>
              <w:ind w:right="141" w:firstLineChars="200" w:firstLine="672"/>
              <w:textAlignment w:val="baseline"/>
              <w:rPr>
                <w:rFonts w:ascii="仿宋_GB2312" w:eastAsia="仿宋_GB2312" w:hAnsi="仿宋_GB2312" w:cs="仿宋_GB2312"/>
                <w:snapToGrid w:val="0"/>
                <w:color w:val="000000"/>
                <w:spacing w:val="7"/>
                <w:kern w:val="0"/>
                <w:sz w:val="32"/>
                <w:szCs w:val="32"/>
              </w:rPr>
            </w:pPr>
            <w:r>
              <w:rPr>
                <w:rFonts w:ascii="仿宋_GB2312" w:eastAsia="仿宋_GB2312" w:hAnsi="仿宋_GB2312" w:cs="仿宋_GB2312" w:hint="eastAsia"/>
                <w:snapToGrid w:val="0"/>
                <w:color w:val="000000"/>
                <w:spacing w:val="8"/>
                <w:kern w:val="0"/>
                <w:sz w:val="32"/>
                <w:szCs w:val="32"/>
              </w:rPr>
              <w:t>鉴于</w:t>
            </w:r>
            <w:r>
              <w:rPr>
                <w:rFonts w:ascii="仿宋_GB2312" w:eastAsia="仿宋_GB2312" w:hAnsi="仿宋_GB2312" w:cs="仿宋_GB2312" w:hint="eastAsia"/>
                <w:snapToGrid w:val="0"/>
                <w:color w:val="000000"/>
                <w:spacing w:val="8"/>
                <w:kern w:val="0"/>
                <w:sz w:val="32"/>
                <w:szCs w:val="32"/>
                <w:u w:val="single"/>
              </w:rPr>
              <w:t xml:space="preserve">                  </w:t>
            </w:r>
            <w:r>
              <w:rPr>
                <w:rFonts w:ascii="仿宋_GB2312" w:eastAsia="仿宋_GB2312" w:hAnsi="仿宋_GB2312" w:cs="仿宋_GB2312" w:hint="eastAsia"/>
                <w:snapToGrid w:val="0"/>
                <w:color w:val="000000"/>
                <w:spacing w:val="8"/>
                <w:kern w:val="0"/>
                <w:sz w:val="32"/>
                <w:szCs w:val="32"/>
              </w:rPr>
              <w:t>下达的</w:t>
            </w:r>
            <w:r>
              <w:rPr>
                <w:rFonts w:ascii="仿宋_GB2312" w:eastAsia="仿宋_GB2312" w:hAnsi="仿宋_GB2312" w:cs="仿宋_GB2312" w:hint="eastAsia"/>
                <w:snapToGrid w:val="0"/>
                <w:color w:val="000000"/>
                <w:spacing w:val="8"/>
                <w:kern w:val="0"/>
                <w:sz w:val="32"/>
                <w:szCs w:val="32"/>
                <w:u w:val="single"/>
              </w:rPr>
              <w:t xml:space="preserve">      </w:t>
            </w:r>
            <w:r>
              <w:rPr>
                <w:rFonts w:ascii="仿宋_GB2312" w:eastAsia="仿宋_GB2312" w:hAnsi="仿宋_GB2312" w:cs="仿宋_GB2312" w:hint="eastAsia"/>
                <w:snapToGrid w:val="0"/>
                <w:color w:val="000000"/>
                <w:spacing w:val="8"/>
                <w:kern w:val="0"/>
                <w:sz w:val="32"/>
                <w:szCs w:val="32"/>
              </w:rPr>
              <w:t>号事故隐患整改通知书，已按要求完成整改，现将</w:t>
            </w:r>
            <w:r>
              <w:rPr>
                <w:rFonts w:ascii="仿宋_GB2312" w:eastAsia="仿宋_GB2312" w:hAnsi="仿宋_GB2312" w:cs="仿宋_GB2312" w:hint="eastAsia"/>
                <w:snapToGrid w:val="0"/>
                <w:color w:val="000000"/>
                <w:kern w:val="0"/>
                <w:sz w:val="32"/>
                <w:szCs w:val="32"/>
              </w:rPr>
              <w:t>整</w:t>
            </w:r>
            <w:r>
              <w:rPr>
                <w:rFonts w:ascii="仿宋_GB2312" w:eastAsia="仿宋_GB2312" w:hAnsi="仿宋_GB2312" w:cs="仿宋_GB2312" w:hint="eastAsia"/>
                <w:snapToGrid w:val="0"/>
                <w:color w:val="000000"/>
                <w:spacing w:val="10"/>
                <w:kern w:val="0"/>
                <w:sz w:val="32"/>
                <w:szCs w:val="32"/>
              </w:rPr>
              <w:t>改</w:t>
            </w:r>
            <w:r>
              <w:rPr>
                <w:rFonts w:ascii="仿宋_GB2312" w:eastAsia="仿宋_GB2312" w:hAnsi="仿宋_GB2312" w:cs="仿宋_GB2312" w:hint="eastAsia"/>
                <w:snapToGrid w:val="0"/>
                <w:color w:val="000000"/>
                <w:spacing w:val="7"/>
                <w:kern w:val="0"/>
                <w:sz w:val="32"/>
                <w:szCs w:val="32"/>
              </w:rPr>
              <w:t>情况回复报告如下：</w:t>
            </w:r>
          </w:p>
          <w:p w:rsidR="007800EB" w:rsidRDefault="00D67590">
            <w:pPr>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p>
          <w:p w:rsidR="007800EB" w:rsidRDefault="00D67590">
            <w:pPr>
              <w:overflowPunct w:val="0"/>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p>
          <w:p w:rsidR="007800EB" w:rsidRDefault="00D67590">
            <w:pPr>
              <w:ind w:firstLineChars="200" w:firstLine="640"/>
              <w:rPr>
                <w:sz w:val="32"/>
                <w:szCs w:val="32"/>
              </w:rPr>
            </w:pPr>
            <w:r>
              <w:rPr>
                <w:rFonts w:ascii="仿宋_GB2312" w:eastAsia="仿宋_GB2312" w:hAnsi="仿宋_GB2312" w:cs="仿宋_GB2312" w:hint="eastAsia"/>
                <w:bCs/>
                <w:sz w:val="32"/>
                <w:szCs w:val="32"/>
              </w:rPr>
              <w:t>3.</w:t>
            </w:r>
          </w:p>
          <w:p w:rsidR="007800EB" w:rsidRDefault="00D67590">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p>
          <w:p w:rsidR="007800EB" w:rsidRDefault="00D67590">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5.</w:t>
            </w:r>
          </w:p>
          <w:p w:rsidR="007800EB" w:rsidRDefault="00D67590">
            <w:pPr>
              <w:ind w:firstLineChars="200" w:firstLine="640"/>
              <w:rPr>
                <w:sz w:val="32"/>
                <w:szCs w:val="32"/>
              </w:rPr>
            </w:pPr>
            <w:r>
              <w:rPr>
                <w:rFonts w:ascii="仿宋_GB2312" w:eastAsia="仿宋_GB2312" w:hAnsi="仿宋_GB2312" w:cs="仿宋_GB2312" w:hint="eastAsia"/>
                <w:bCs/>
                <w:sz w:val="32"/>
                <w:szCs w:val="32"/>
              </w:rPr>
              <w:t>……</w:t>
            </w:r>
          </w:p>
          <w:p w:rsidR="007800EB" w:rsidRDefault="007800EB">
            <w:pPr>
              <w:overflowPunct w:val="0"/>
              <w:spacing w:line="600" w:lineRule="exact"/>
              <w:rPr>
                <w:rFonts w:ascii="仿宋_GB2312" w:eastAsia="仿宋_GB2312" w:hAnsi="仿宋_GB2312" w:cs="仿宋_GB2312"/>
                <w:snapToGrid w:val="0"/>
                <w:color w:val="000000"/>
                <w:spacing w:val="7"/>
                <w:kern w:val="0"/>
                <w:sz w:val="32"/>
                <w:szCs w:val="32"/>
              </w:rPr>
            </w:pPr>
          </w:p>
          <w:p w:rsidR="007800EB" w:rsidRDefault="00D67590">
            <w:pPr>
              <w:widowControl/>
              <w:kinsoku w:val="0"/>
              <w:overflowPunct w:val="0"/>
              <w:autoSpaceDE w:val="0"/>
              <w:autoSpaceDN w:val="0"/>
              <w:adjustRightInd w:val="0"/>
              <w:snapToGrid w:val="0"/>
              <w:spacing w:line="600" w:lineRule="exact"/>
              <w:ind w:firstLineChars="200" w:firstLine="688"/>
              <w:textAlignment w:val="baseline"/>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snapToGrid w:val="0"/>
                <w:color w:val="000000"/>
                <w:spacing w:val="12"/>
                <w:kern w:val="0"/>
                <w:sz w:val="32"/>
                <w:szCs w:val="32"/>
              </w:rPr>
              <w:t>附</w:t>
            </w:r>
            <w:r>
              <w:rPr>
                <w:rFonts w:ascii="仿宋_GB2312" w:eastAsia="仿宋_GB2312" w:hAnsi="仿宋_GB2312" w:cs="仿宋_GB2312" w:hint="eastAsia"/>
                <w:snapToGrid w:val="0"/>
                <w:color w:val="000000"/>
                <w:spacing w:val="8"/>
                <w:kern w:val="0"/>
                <w:sz w:val="32"/>
                <w:szCs w:val="32"/>
              </w:rPr>
              <w:t xml:space="preserve">：整改佐证材料              </w:t>
            </w:r>
          </w:p>
          <w:p w:rsidR="007800EB" w:rsidRDefault="007800EB">
            <w:pPr>
              <w:widowControl/>
              <w:kinsoku w:val="0"/>
              <w:overflowPunct w:val="0"/>
              <w:autoSpaceDE w:val="0"/>
              <w:autoSpaceDN w:val="0"/>
              <w:adjustRightInd w:val="0"/>
              <w:snapToGrid w:val="0"/>
              <w:spacing w:line="600" w:lineRule="exact"/>
              <w:ind w:firstLineChars="200" w:firstLine="672"/>
              <w:textAlignment w:val="baseline"/>
              <w:rPr>
                <w:rFonts w:ascii="仿宋_GB2312" w:eastAsia="仿宋_GB2312" w:hAnsi="仿宋_GB2312" w:cs="仿宋_GB2312"/>
                <w:snapToGrid w:val="0"/>
                <w:color w:val="000000"/>
                <w:spacing w:val="8"/>
                <w:kern w:val="0"/>
                <w:sz w:val="32"/>
                <w:szCs w:val="32"/>
              </w:rPr>
            </w:pPr>
          </w:p>
          <w:p w:rsidR="007800EB" w:rsidRDefault="007800EB">
            <w:pPr>
              <w:widowControl/>
              <w:kinsoku w:val="0"/>
              <w:overflowPunct w:val="0"/>
              <w:autoSpaceDE w:val="0"/>
              <w:autoSpaceDN w:val="0"/>
              <w:adjustRightInd w:val="0"/>
              <w:snapToGrid w:val="0"/>
              <w:spacing w:line="600" w:lineRule="exact"/>
              <w:ind w:firstLineChars="200" w:firstLine="672"/>
              <w:textAlignment w:val="baseline"/>
              <w:rPr>
                <w:rFonts w:ascii="仿宋_GB2312" w:eastAsia="仿宋_GB2312" w:hAnsi="仿宋_GB2312" w:cs="仿宋_GB2312"/>
                <w:snapToGrid w:val="0"/>
                <w:color w:val="000000"/>
                <w:spacing w:val="8"/>
                <w:kern w:val="0"/>
                <w:sz w:val="32"/>
                <w:szCs w:val="32"/>
              </w:rPr>
            </w:pPr>
          </w:p>
          <w:p w:rsidR="007800EB" w:rsidRDefault="00D67590">
            <w:pPr>
              <w:widowControl/>
              <w:kinsoku w:val="0"/>
              <w:overflowPunct w:val="0"/>
              <w:autoSpaceDE w:val="0"/>
              <w:autoSpaceDN w:val="0"/>
              <w:adjustRightInd w:val="0"/>
              <w:snapToGrid w:val="0"/>
              <w:spacing w:line="600" w:lineRule="exact"/>
              <w:ind w:firstLineChars="1300" w:firstLine="3900"/>
              <w:textAlignment w:val="baseline"/>
              <w:rPr>
                <w:rFonts w:ascii="仿宋_GB2312" w:eastAsia="仿宋_GB2312" w:hAnsi="仿宋_GB2312" w:cs="仿宋_GB2312"/>
                <w:snapToGrid w:val="0"/>
                <w:color w:val="000000"/>
                <w:spacing w:val="-5"/>
                <w:kern w:val="0"/>
                <w:sz w:val="32"/>
                <w:szCs w:val="32"/>
              </w:rPr>
            </w:pPr>
            <w:r>
              <w:rPr>
                <w:rFonts w:ascii="仿宋_GB2312" w:eastAsia="仿宋_GB2312" w:hAnsi="仿宋_GB2312" w:cs="仿宋_GB2312" w:hint="eastAsia"/>
                <w:snapToGrid w:val="0"/>
                <w:color w:val="000000"/>
                <w:spacing w:val="-10"/>
                <w:kern w:val="0"/>
                <w:sz w:val="32"/>
                <w:szCs w:val="32"/>
              </w:rPr>
              <w:t>单</w:t>
            </w:r>
            <w:r>
              <w:rPr>
                <w:rFonts w:ascii="仿宋_GB2312" w:eastAsia="仿宋_GB2312" w:hAnsi="仿宋_GB2312" w:cs="仿宋_GB2312" w:hint="eastAsia"/>
                <w:snapToGrid w:val="0"/>
                <w:color w:val="000000"/>
                <w:spacing w:val="-8"/>
                <w:kern w:val="0"/>
                <w:sz w:val="32"/>
                <w:szCs w:val="32"/>
              </w:rPr>
              <w:t>位</w:t>
            </w:r>
            <w:r>
              <w:rPr>
                <w:rFonts w:ascii="仿宋_GB2312" w:eastAsia="仿宋_GB2312" w:hAnsi="仿宋_GB2312" w:cs="仿宋_GB2312" w:hint="eastAsia"/>
                <w:snapToGrid w:val="0"/>
                <w:color w:val="000000"/>
                <w:spacing w:val="-5"/>
                <w:kern w:val="0"/>
                <w:sz w:val="32"/>
                <w:szCs w:val="32"/>
              </w:rPr>
              <w:t>：             (盖章)</w:t>
            </w:r>
          </w:p>
          <w:p w:rsidR="007800EB" w:rsidRDefault="007800EB">
            <w:pPr>
              <w:widowControl/>
              <w:kinsoku w:val="0"/>
              <w:overflowPunct w:val="0"/>
              <w:autoSpaceDE w:val="0"/>
              <w:autoSpaceDN w:val="0"/>
              <w:adjustRightInd w:val="0"/>
              <w:snapToGrid w:val="0"/>
              <w:spacing w:before="65" w:line="228" w:lineRule="auto"/>
              <w:jc w:val="left"/>
              <w:textAlignment w:val="baseline"/>
              <w:rPr>
                <w:rFonts w:ascii="仿宋_GB2312" w:eastAsia="仿宋_GB2312" w:hAnsi="仿宋_GB2312" w:cs="仿宋_GB2312"/>
                <w:snapToGrid w:val="0"/>
                <w:color w:val="000000"/>
                <w:spacing w:val="-5"/>
                <w:kern w:val="0"/>
                <w:sz w:val="28"/>
                <w:szCs w:val="28"/>
              </w:rPr>
            </w:pPr>
          </w:p>
        </w:tc>
      </w:tr>
      <w:tr w:rsidR="007800EB">
        <w:trPr>
          <w:trHeight w:val="95"/>
        </w:trPr>
        <w:tc>
          <w:tcPr>
            <w:tcW w:w="2514" w:type="dxa"/>
            <w:tcBorders>
              <w:top w:val="single" w:sz="2" w:space="0" w:color="000000"/>
              <w:bottom w:val="single" w:sz="2" w:space="0" w:color="000000"/>
            </w:tcBorders>
          </w:tcPr>
          <w:p w:rsidR="007800EB" w:rsidRDefault="00D67590">
            <w:pPr>
              <w:widowControl/>
              <w:kinsoku w:val="0"/>
              <w:overflowPunct w:val="0"/>
              <w:autoSpaceDE w:val="0"/>
              <w:autoSpaceDN w:val="0"/>
              <w:adjustRightInd w:val="0"/>
              <w:snapToGrid w:val="0"/>
              <w:spacing w:line="600" w:lineRule="exact"/>
              <w:jc w:val="center"/>
              <w:textAlignment w:val="baseline"/>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snapToGrid w:val="0"/>
                <w:color w:val="000000"/>
                <w:spacing w:val="7"/>
                <w:kern w:val="0"/>
                <w:sz w:val="32"/>
                <w:szCs w:val="32"/>
              </w:rPr>
              <w:t>整改责任</w:t>
            </w:r>
            <w:r>
              <w:rPr>
                <w:rFonts w:ascii="仿宋_GB2312" w:eastAsia="仿宋_GB2312" w:hAnsi="仿宋_GB2312" w:cs="仿宋_GB2312" w:hint="eastAsia"/>
                <w:snapToGrid w:val="0"/>
                <w:color w:val="000000"/>
                <w:spacing w:val="5"/>
                <w:kern w:val="0"/>
                <w:sz w:val="32"/>
                <w:szCs w:val="32"/>
              </w:rPr>
              <w:t>人</w:t>
            </w:r>
          </w:p>
        </w:tc>
        <w:tc>
          <w:tcPr>
            <w:tcW w:w="2132" w:type="dxa"/>
            <w:tcBorders>
              <w:top w:val="single" w:sz="2" w:space="0" w:color="000000"/>
              <w:bottom w:val="single" w:sz="2" w:space="0" w:color="000000"/>
            </w:tcBorders>
          </w:tcPr>
          <w:p w:rsidR="007800EB" w:rsidRDefault="007800EB">
            <w:pPr>
              <w:widowControl/>
              <w:kinsoku w:val="0"/>
              <w:overflowPunct w:val="0"/>
              <w:autoSpaceDE w:val="0"/>
              <w:autoSpaceDN w:val="0"/>
              <w:adjustRightInd w:val="0"/>
              <w:snapToGrid w:val="0"/>
              <w:spacing w:line="600" w:lineRule="exact"/>
              <w:ind w:firstLineChars="200" w:firstLine="672"/>
              <w:textAlignment w:val="baseline"/>
              <w:rPr>
                <w:rFonts w:ascii="仿宋_GB2312" w:eastAsia="仿宋_GB2312" w:hAnsi="仿宋_GB2312" w:cs="仿宋_GB2312"/>
                <w:snapToGrid w:val="0"/>
                <w:color w:val="000000"/>
                <w:spacing w:val="8"/>
                <w:kern w:val="0"/>
                <w:sz w:val="32"/>
                <w:szCs w:val="32"/>
              </w:rPr>
            </w:pPr>
          </w:p>
        </w:tc>
        <w:tc>
          <w:tcPr>
            <w:tcW w:w="1789" w:type="dxa"/>
            <w:tcBorders>
              <w:top w:val="single" w:sz="2" w:space="0" w:color="000000"/>
              <w:bottom w:val="single" w:sz="2" w:space="0" w:color="000000"/>
            </w:tcBorders>
            <w:vAlign w:val="center"/>
          </w:tcPr>
          <w:p w:rsidR="007800EB" w:rsidRDefault="00D67590">
            <w:pPr>
              <w:widowControl/>
              <w:overflowPunct w:val="0"/>
              <w:spacing w:line="600" w:lineRule="exact"/>
              <w:jc w:val="center"/>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bCs/>
                <w:sz w:val="32"/>
                <w:szCs w:val="32"/>
              </w:rPr>
              <w:t>日  期</w:t>
            </w:r>
          </w:p>
        </w:tc>
        <w:tc>
          <w:tcPr>
            <w:tcW w:w="2646" w:type="dxa"/>
            <w:tcBorders>
              <w:top w:val="single" w:sz="2" w:space="0" w:color="000000"/>
              <w:bottom w:val="single" w:sz="2" w:space="0" w:color="000000"/>
            </w:tcBorders>
            <w:vAlign w:val="center"/>
          </w:tcPr>
          <w:p w:rsidR="007800EB" w:rsidRDefault="00D67590">
            <w:pPr>
              <w:widowControl/>
              <w:overflowPunct w:val="0"/>
              <w:spacing w:line="600" w:lineRule="exact"/>
              <w:jc w:val="center"/>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bCs/>
                <w:sz w:val="32"/>
                <w:szCs w:val="32"/>
              </w:rPr>
              <w:t xml:space="preserve">    年  月  日</w:t>
            </w:r>
          </w:p>
        </w:tc>
      </w:tr>
      <w:tr w:rsidR="007800EB">
        <w:trPr>
          <w:trHeight w:val="95"/>
        </w:trPr>
        <w:tc>
          <w:tcPr>
            <w:tcW w:w="2514" w:type="dxa"/>
            <w:tcBorders>
              <w:top w:val="single" w:sz="2" w:space="0" w:color="000000"/>
              <w:bottom w:val="single" w:sz="2" w:space="0" w:color="000000"/>
            </w:tcBorders>
          </w:tcPr>
          <w:p w:rsidR="007800EB" w:rsidRDefault="00D67590">
            <w:pPr>
              <w:widowControl/>
              <w:kinsoku w:val="0"/>
              <w:overflowPunct w:val="0"/>
              <w:autoSpaceDE w:val="0"/>
              <w:autoSpaceDN w:val="0"/>
              <w:adjustRightInd w:val="0"/>
              <w:snapToGrid w:val="0"/>
              <w:spacing w:line="600" w:lineRule="exact"/>
              <w:jc w:val="center"/>
              <w:textAlignment w:val="baseline"/>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snapToGrid w:val="0"/>
                <w:color w:val="000000"/>
                <w:spacing w:val="8"/>
                <w:kern w:val="0"/>
                <w:sz w:val="32"/>
                <w:szCs w:val="32"/>
              </w:rPr>
              <w:t>签收人</w:t>
            </w:r>
          </w:p>
        </w:tc>
        <w:tc>
          <w:tcPr>
            <w:tcW w:w="2132" w:type="dxa"/>
            <w:tcBorders>
              <w:top w:val="single" w:sz="2" w:space="0" w:color="000000"/>
              <w:bottom w:val="single" w:sz="2" w:space="0" w:color="000000"/>
            </w:tcBorders>
          </w:tcPr>
          <w:p w:rsidR="007800EB" w:rsidRDefault="007800EB">
            <w:pPr>
              <w:widowControl/>
              <w:kinsoku w:val="0"/>
              <w:overflowPunct w:val="0"/>
              <w:autoSpaceDE w:val="0"/>
              <w:autoSpaceDN w:val="0"/>
              <w:adjustRightInd w:val="0"/>
              <w:snapToGrid w:val="0"/>
              <w:spacing w:line="600" w:lineRule="exact"/>
              <w:ind w:firstLineChars="200" w:firstLine="672"/>
              <w:textAlignment w:val="baseline"/>
              <w:rPr>
                <w:rFonts w:ascii="仿宋_GB2312" w:eastAsia="仿宋_GB2312" w:hAnsi="仿宋_GB2312" w:cs="仿宋_GB2312"/>
                <w:snapToGrid w:val="0"/>
                <w:color w:val="000000"/>
                <w:spacing w:val="8"/>
                <w:kern w:val="0"/>
                <w:sz w:val="32"/>
                <w:szCs w:val="32"/>
              </w:rPr>
            </w:pPr>
          </w:p>
        </w:tc>
        <w:tc>
          <w:tcPr>
            <w:tcW w:w="1789" w:type="dxa"/>
            <w:tcBorders>
              <w:top w:val="single" w:sz="2" w:space="0" w:color="000000"/>
              <w:bottom w:val="single" w:sz="2" w:space="0" w:color="000000"/>
            </w:tcBorders>
            <w:vAlign w:val="center"/>
          </w:tcPr>
          <w:p w:rsidR="007800EB" w:rsidRDefault="00D67590">
            <w:pPr>
              <w:widowControl/>
              <w:overflowPunct w:val="0"/>
              <w:spacing w:line="600" w:lineRule="exact"/>
              <w:jc w:val="center"/>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bCs/>
                <w:sz w:val="32"/>
                <w:szCs w:val="32"/>
              </w:rPr>
              <w:t>日  期</w:t>
            </w:r>
          </w:p>
        </w:tc>
        <w:tc>
          <w:tcPr>
            <w:tcW w:w="2646" w:type="dxa"/>
            <w:tcBorders>
              <w:top w:val="single" w:sz="2" w:space="0" w:color="000000"/>
              <w:bottom w:val="single" w:sz="2" w:space="0" w:color="000000"/>
            </w:tcBorders>
            <w:vAlign w:val="center"/>
          </w:tcPr>
          <w:p w:rsidR="007800EB" w:rsidRDefault="00D67590">
            <w:pPr>
              <w:widowControl/>
              <w:overflowPunct w:val="0"/>
              <w:spacing w:line="600" w:lineRule="exact"/>
              <w:jc w:val="center"/>
              <w:rPr>
                <w:rFonts w:ascii="仿宋_GB2312" w:eastAsia="仿宋_GB2312" w:hAnsi="仿宋_GB2312" w:cs="仿宋_GB2312"/>
                <w:snapToGrid w:val="0"/>
                <w:color w:val="000000"/>
                <w:spacing w:val="8"/>
                <w:kern w:val="0"/>
                <w:sz w:val="32"/>
                <w:szCs w:val="32"/>
              </w:rPr>
            </w:pPr>
            <w:r>
              <w:rPr>
                <w:rFonts w:ascii="仿宋_GB2312" w:eastAsia="仿宋_GB2312" w:hAnsi="仿宋_GB2312" w:cs="仿宋_GB2312" w:hint="eastAsia"/>
                <w:bCs/>
                <w:sz w:val="32"/>
                <w:szCs w:val="32"/>
              </w:rPr>
              <w:t xml:space="preserve">    年  月  日</w:t>
            </w:r>
          </w:p>
        </w:tc>
      </w:tr>
    </w:tbl>
    <w:p w:rsidR="007800EB" w:rsidRDefault="007800EB">
      <w:pPr>
        <w:overflowPunct w:val="0"/>
        <w:spacing w:line="600" w:lineRule="exact"/>
        <w:rPr>
          <w:rFonts w:ascii="仿宋_GB2312" w:eastAsia="仿宋_GB2312" w:hAnsi="仿宋_GB2312" w:cs="仿宋_GB2312"/>
          <w:color w:val="000000"/>
          <w:sz w:val="32"/>
          <w:szCs w:val="32"/>
        </w:rPr>
        <w:sectPr w:rsidR="007800EB">
          <w:pgSz w:w="11906" w:h="16838"/>
          <w:pgMar w:top="1440" w:right="1803" w:bottom="1440" w:left="1803" w:header="851" w:footer="992" w:gutter="0"/>
          <w:cols w:space="720"/>
          <w:docGrid w:type="lines" w:linePitch="319"/>
        </w:sectPr>
      </w:pPr>
    </w:p>
    <w:p w:rsidR="007800EB" w:rsidRDefault="007800EB">
      <w:pPr>
        <w:widowControl/>
        <w:jc w:val="center"/>
        <w:textAlignment w:val="center"/>
        <w:outlineLvl w:val="1"/>
        <w:rPr>
          <w:rFonts w:ascii="宋体" w:hAnsi="宋体" w:cs="宋体"/>
          <w:color w:val="000000"/>
          <w:sz w:val="32"/>
          <w:szCs w:val="32"/>
        </w:rPr>
      </w:pPr>
      <w:bookmarkStart w:id="156" w:name="_Toc8497"/>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A.11</w:t>
      </w:r>
      <w:r>
        <w:rPr>
          <w:rFonts w:ascii="黑体" w:eastAsia="黑体" w:hAnsi="黑体" w:cs="黑体" w:hint="eastAsia"/>
          <w:b/>
          <w:bCs/>
          <w:color w:val="000000"/>
          <w:sz w:val="32"/>
          <w:szCs w:val="32"/>
        </w:rPr>
        <w:t xml:space="preserve"> </w:t>
      </w:r>
      <w:r>
        <w:rPr>
          <w:rFonts w:ascii="宋体" w:hAnsi="宋体" w:cs="宋体" w:hint="eastAsia"/>
          <w:b/>
          <w:bCs/>
          <w:color w:val="000000"/>
          <w:sz w:val="32"/>
          <w:szCs w:val="32"/>
        </w:rPr>
        <w:t>事故隐患排查治理统计表</w:t>
      </w:r>
      <w:bookmarkEnd w:id="156"/>
    </w:p>
    <w:p w:rsidR="007800EB" w:rsidRDefault="00D67590">
      <w:pPr>
        <w:overflowPunct w:val="0"/>
        <w:jc w:val="left"/>
        <w:rPr>
          <w:rFonts w:ascii="楷体" w:eastAsia="楷体" w:hAnsi="楷体" w:cs="楷体"/>
          <w:b/>
          <w:bCs/>
          <w:color w:val="000000"/>
          <w:sz w:val="32"/>
          <w:szCs w:val="32"/>
        </w:rPr>
      </w:pPr>
      <w:bookmarkStart w:id="157" w:name="_Toc1746"/>
      <w:bookmarkStart w:id="158" w:name="_Toc3733"/>
      <w:bookmarkStart w:id="159" w:name="_Toc4626"/>
      <w:bookmarkStart w:id="160" w:name="_Toc27456"/>
      <w:bookmarkStart w:id="161" w:name="_Toc28371"/>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TableNormal"/>
        <w:tblW w:w="0" w:type="auto"/>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7"/>
        <w:gridCol w:w="1350"/>
        <w:gridCol w:w="1353"/>
        <w:gridCol w:w="995"/>
        <w:gridCol w:w="995"/>
        <w:gridCol w:w="1505"/>
        <w:gridCol w:w="1598"/>
        <w:gridCol w:w="1239"/>
        <w:gridCol w:w="1756"/>
        <w:gridCol w:w="1275"/>
        <w:gridCol w:w="1263"/>
        <w:gridCol w:w="938"/>
      </w:tblGrid>
      <w:tr w:rsidR="007800EB">
        <w:trPr>
          <w:trHeight w:val="572"/>
          <w:jc w:val="center"/>
        </w:trPr>
        <w:tc>
          <w:tcPr>
            <w:tcW w:w="657" w:type="dxa"/>
            <w:vMerge w:val="restart"/>
            <w:tcBorders>
              <w:left w:val="single" w:sz="6" w:space="0" w:color="000000"/>
              <w:bottom w:val="nil"/>
              <w:right w:val="single" w:sz="4" w:space="0" w:color="000000"/>
            </w:tcBorders>
            <w:vAlign w:val="center"/>
          </w:tcPr>
          <w:bookmarkEnd w:id="157"/>
          <w:bookmarkEnd w:id="158"/>
          <w:bookmarkEnd w:id="159"/>
          <w:bookmarkEnd w:id="160"/>
          <w:bookmarkEnd w:id="161"/>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7"/>
                <w:kern w:val="0"/>
                <w:sz w:val="24"/>
              </w:rPr>
              <w:t>序</w:t>
            </w:r>
            <w:r>
              <w:rPr>
                <w:rFonts w:ascii="黑体" w:eastAsia="黑体" w:hAnsi="黑体" w:cs="黑体" w:hint="eastAsia"/>
                <w:snapToGrid w:val="0"/>
                <w:color w:val="000000"/>
                <w:spacing w:val="6"/>
                <w:kern w:val="0"/>
                <w:sz w:val="24"/>
              </w:rPr>
              <w:t>号</w:t>
            </w:r>
          </w:p>
        </w:tc>
        <w:tc>
          <w:tcPr>
            <w:tcW w:w="1350" w:type="dxa"/>
            <w:vMerge w:val="restart"/>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spacing w:val="7"/>
                <w:kern w:val="0"/>
                <w:sz w:val="24"/>
              </w:rPr>
            </w:pPr>
            <w:r>
              <w:rPr>
                <w:rFonts w:ascii="黑体" w:eastAsia="黑体" w:hAnsi="黑体" w:cs="黑体" w:hint="eastAsia"/>
                <w:snapToGrid w:val="0"/>
                <w:spacing w:val="7"/>
                <w:kern w:val="0"/>
                <w:sz w:val="24"/>
              </w:rPr>
              <w:t>危险源</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7"/>
                <w:kern w:val="0"/>
                <w:sz w:val="24"/>
              </w:rPr>
            </w:pPr>
            <w:r>
              <w:rPr>
                <w:rFonts w:ascii="黑体" w:eastAsia="黑体" w:hAnsi="黑体" w:cs="黑体" w:hint="eastAsia"/>
                <w:snapToGrid w:val="0"/>
                <w:spacing w:val="7"/>
                <w:kern w:val="0"/>
                <w:sz w:val="24"/>
              </w:rPr>
              <w:t>名称</w:t>
            </w:r>
          </w:p>
        </w:tc>
        <w:tc>
          <w:tcPr>
            <w:tcW w:w="1353" w:type="dxa"/>
            <w:vMerge w:val="restart"/>
            <w:tcBorders>
              <w:left w:val="single" w:sz="4" w:space="0" w:color="000000"/>
              <w:bottom w:val="nil"/>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7"/>
                <w:kern w:val="0"/>
                <w:sz w:val="24"/>
              </w:rPr>
            </w:pPr>
            <w:r>
              <w:rPr>
                <w:rFonts w:ascii="黑体" w:eastAsia="黑体" w:hAnsi="黑体" w:cs="黑体" w:hint="eastAsia"/>
                <w:snapToGrid w:val="0"/>
                <w:color w:val="000000"/>
                <w:spacing w:val="7"/>
                <w:kern w:val="0"/>
                <w:sz w:val="24"/>
              </w:rPr>
              <w:t>隐患基本</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7"/>
                <w:kern w:val="0"/>
                <w:sz w:val="24"/>
              </w:rPr>
              <w:t>情</w:t>
            </w:r>
            <w:r>
              <w:rPr>
                <w:rFonts w:ascii="黑体" w:eastAsia="黑体" w:hAnsi="黑体" w:cs="黑体" w:hint="eastAsia"/>
                <w:snapToGrid w:val="0"/>
                <w:color w:val="000000"/>
                <w:spacing w:val="6"/>
                <w:kern w:val="0"/>
                <w:sz w:val="24"/>
              </w:rPr>
              <w:t>况</w:t>
            </w:r>
          </w:p>
        </w:tc>
        <w:tc>
          <w:tcPr>
            <w:tcW w:w="995" w:type="dxa"/>
            <w:vMerge w:val="restart"/>
            <w:tcBorders>
              <w:left w:val="single" w:sz="4" w:space="0" w:color="000000"/>
              <w:bottom w:val="nil"/>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5"/>
                <w:kern w:val="0"/>
                <w:sz w:val="24"/>
              </w:rPr>
            </w:pPr>
            <w:r>
              <w:rPr>
                <w:rFonts w:ascii="黑体" w:eastAsia="黑体" w:hAnsi="黑体" w:cs="黑体" w:hint="eastAsia"/>
                <w:snapToGrid w:val="0"/>
                <w:color w:val="000000"/>
                <w:spacing w:val="6"/>
                <w:kern w:val="0"/>
                <w:sz w:val="24"/>
              </w:rPr>
              <w:t>隐</w:t>
            </w:r>
            <w:r>
              <w:rPr>
                <w:rFonts w:ascii="黑体" w:eastAsia="黑体" w:hAnsi="黑体" w:cs="黑体" w:hint="eastAsia"/>
                <w:snapToGrid w:val="0"/>
                <w:color w:val="000000"/>
                <w:spacing w:val="5"/>
                <w:kern w:val="0"/>
                <w:sz w:val="24"/>
              </w:rPr>
              <w:t>患</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5"/>
                <w:kern w:val="0"/>
                <w:sz w:val="24"/>
              </w:rPr>
              <w:t>等级</w:t>
            </w:r>
          </w:p>
        </w:tc>
        <w:tc>
          <w:tcPr>
            <w:tcW w:w="995" w:type="dxa"/>
            <w:vMerge w:val="restart"/>
            <w:tcBorders>
              <w:left w:val="single" w:sz="4" w:space="0" w:color="000000"/>
              <w:bottom w:val="nil"/>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rPr>
            </w:pPr>
            <w:r>
              <w:rPr>
                <w:rFonts w:ascii="黑体" w:eastAsia="黑体" w:hAnsi="黑体" w:cs="黑体" w:hint="eastAsia"/>
                <w:snapToGrid w:val="0"/>
                <w:color w:val="000000"/>
                <w:spacing w:val="8"/>
                <w:kern w:val="0"/>
                <w:sz w:val="24"/>
              </w:rPr>
              <w:t>发现</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2"/>
                <w:kern w:val="0"/>
                <w:sz w:val="24"/>
              </w:rPr>
              <w:t>时间</w:t>
            </w:r>
          </w:p>
        </w:tc>
        <w:tc>
          <w:tcPr>
            <w:tcW w:w="6098" w:type="dxa"/>
            <w:gridSpan w:val="4"/>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9"/>
                <w:kern w:val="0"/>
                <w:sz w:val="24"/>
              </w:rPr>
              <w:t>隐患治理方案</w:t>
            </w:r>
          </w:p>
        </w:tc>
        <w:tc>
          <w:tcPr>
            <w:tcW w:w="1275" w:type="dxa"/>
            <w:vMerge w:val="restart"/>
            <w:tcBorders>
              <w:left w:val="single" w:sz="4" w:space="0" w:color="000000"/>
              <w:bottom w:val="nil"/>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5"/>
                <w:kern w:val="0"/>
                <w:sz w:val="24"/>
              </w:rPr>
            </w:pPr>
            <w:r>
              <w:rPr>
                <w:rFonts w:ascii="黑体" w:eastAsia="黑体" w:hAnsi="黑体" w:cs="黑体" w:hint="eastAsia"/>
                <w:snapToGrid w:val="0"/>
                <w:color w:val="000000"/>
                <w:spacing w:val="6"/>
                <w:kern w:val="0"/>
                <w:sz w:val="24"/>
              </w:rPr>
              <w:t>治理结果</w:t>
            </w:r>
          </w:p>
        </w:tc>
        <w:tc>
          <w:tcPr>
            <w:tcW w:w="1263" w:type="dxa"/>
            <w:vMerge w:val="restart"/>
            <w:tcBorders>
              <w:left w:val="single" w:sz="4" w:space="0" w:color="000000"/>
              <w:right w:val="single" w:sz="6"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lang w:val="en"/>
              </w:rPr>
            </w:pPr>
            <w:r>
              <w:rPr>
                <w:rFonts w:ascii="黑体" w:eastAsia="黑体" w:hAnsi="黑体" w:cs="黑体" w:hint="eastAsia"/>
                <w:snapToGrid w:val="0"/>
                <w:color w:val="000000"/>
                <w:spacing w:val="8"/>
                <w:kern w:val="0"/>
                <w:sz w:val="24"/>
              </w:rPr>
              <w:t>验收意见及时间</w:t>
            </w:r>
          </w:p>
        </w:tc>
        <w:tc>
          <w:tcPr>
            <w:tcW w:w="938" w:type="dxa"/>
            <w:vMerge w:val="restart"/>
            <w:tcBorders>
              <w:left w:val="single" w:sz="4" w:space="0" w:color="000000"/>
              <w:right w:val="single" w:sz="6"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rPr>
            </w:pPr>
            <w:r>
              <w:rPr>
                <w:rFonts w:ascii="黑体" w:eastAsia="黑体" w:hAnsi="黑体" w:cs="黑体" w:hint="eastAsia"/>
                <w:snapToGrid w:val="0"/>
                <w:color w:val="000000"/>
                <w:spacing w:val="8"/>
                <w:kern w:val="0"/>
                <w:sz w:val="24"/>
              </w:rPr>
              <w:t>验收人</w:t>
            </w:r>
          </w:p>
        </w:tc>
      </w:tr>
      <w:tr w:rsidR="007800EB">
        <w:trPr>
          <w:trHeight w:val="772"/>
          <w:jc w:val="center"/>
        </w:trPr>
        <w:tc>
          <w:tcPr>
            <w:tcW w:w="657" w:type="dxa"/>
            <w:vMerge/>
            <w:tcBorders>
              <w:top w:val="nil"/>
              <w:left w:val="single" w:sz="6"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1350" w:type="dxa"/>
            <w:vMerge/>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1353" w:type="dxa"/>
            <w:vMerge/>
            <w:tcBorders>
              <w:top w:val="nil"/>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995" w:type="dxa"/>
            <w:vMerge/>
            <w:tcBorders>
              <w:top w:val="nil"/>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995" w:type="dxa"/>
            <w:vMerge/>
            <w:tcBorders>
              <w:top w:val="nil"/>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1505" w:type="dxa"/>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rPr>
            </w:pPr>
            <w:r>
              <w:rPr>
                <w:rFonts w:ascii="黑体" w:eastAsia="黑体" w:hAnsi="黑体" w:cs="黑体" w:hint="eastAsia"/>
                <w:snapToGrid w:val="0"/>
                <w:color w:val="000000"/>
                <w:spacing w:val="12"/>
                <w:kern w:val="0"/>
                <w:sz w:val="24"/>
              </w:rPr>
              <w:t>治</w:t>
            </w:r>
            <w:r>
              <w:rPr>
                <w:rFonts w:ascii="黑体" w:eastAsia="黑体" w:hAnsi="黑体" w:cs="黑体" w:hint="eastAsia"/>
                <w:snapToGrid w:val="0"/>
                <w:color w:val="000000"/>
                <w:spacing w:val="8"/>
                <w:kern w:val="0"/>
                <w:sz w:val="24"/>
              </w:rPr>
              <w:t>理措施</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8"/>
                <w:kern w:val="0"/>
                <w:sz w:val="24"/>
              </w:rPr>
              <w:t>和方法</w:t>
            </w:r>
          </w:p>
        </w:tc>
        <w:tc>
          <w:tcPr>
            <w:tcW w:w="1598" w:type="dxa"/>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spacing w:val="7"/>
                <w:kern w:val="0"/>
                <w:sz w:val="24"/>
              </w:rPr>
            </w:pPr>
            <w:r>
              <w:rPr>
                <w:rFonts w:ascii="黑体" w:eastAsia="黑体" w:hAnsi="黑体" w:cs="黑体" w:hint="eastAsia"/>
                <w:snapToGrid w:val="0"/>
                <w:spacing w:val="8"/>
                <w:kern w:val="0"/>
                <w:sz w:val="24"/>
              </w:rPr>
              <w:t>责</w:t>
            </w:r>
            <w:r>
              <w:rPr>
                <w:rFonts w:ascii="黑体" w:eastAsia="黑体" w:hAnsi="黑体" w:cs="黑体" w:hint="eastAsia"/>
                <w:snapToGrid w:val="0"/>
                <w:spacing w:val="7"/>
                <w:kern w:val="0"/>
                <w:sz w:val="24"/>
              </w:rPr>
              <w:t>任部门</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7"/>
                <w:kern w:val="0"/>
                <w:sz w:val="24"/>
              </w:rPr>
              <w:t>和</w:t>
            </w:r>
            <w:r>
              <w:rPr>
                <w:rFonts w:ascii="黑体" w:eastAsia="黑体" w:hAnsi="黑体" w:cs="黑体" w:hint="eastAsia"/>
                <w:snapToGrid w:val="0"/>
                <w:color w:val="000000"/>
                <w:spacing w:val="6"/>
                <w:kern w:val="0"/>
                <w:sz w:val="24"/>
              </w:rPr>
              <w:t>责</w:t>
            </w:r>
            <w:r>
              <w:rPr>
                <w:rFonts w:ascii="黑体" w:eastAsia="黑体" w:hAnsi="黑体" w:cs="黑体" w:hint="eastAsia"/>
                <w:snapToGrid w:val="0"/>
                <w:color w:val="000000"/>
                <w:spacing w:val="5"/>
                <w:kern w:val="0"/>
                <w:sz w:val="24"/>
              </w:rPr>
              <w:t>任人</w:t>
            </w:r>
          </w:p>
        </w:tc>
        <w:tc>
          <w:tcPr>
            <w:tcW w:w="1239" w:type="dxa"/>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6"/>
                <w:kern w:val="0"/>
                <w:position w:val="4"/>
                <w:sz w:val="24"/>
              </w:rPr>
            </w:pPr>
            <w:r>
              <w:rPr>
                <w:rFonts w:ascii="黑体" w:eastAsia="黑体" w:hAnsi="黑体" w:cs="黑体" w:hint="eastAsia"/>
                <w:snapToGrid w:val="0"/>
                <w:color w:val="000000"/>
                <w:spacing w:val="6"/>
                <w:kern w:val="0"/>
                <w:position w:val="4"/>
                <w:sz w:val="24"/>
              </w:rPr>
              <w:t>治理</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6"/>
                <w:kern w:val="0"/>
                <w:position w:val="4"/>
                <w:sz w:val="24"/>
              </w:rPr>
              <w:t>时限</w:t>
            </w:r>
          </w:p>
        </w:tc>
        <w:tc>
          <w:tcPr>
            <w:tcW w:w="1756" w:type="dxa"/>
            <w:tcBorders>
              <w:left w:val="single" w:sz="4"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9"/>
                <w:kern w:val="0"/>
                <w:sz w:val="24"/>
              </w:rPr>
            </w:pPr>
            <w:r>
              <w:rPr>
                <w:rFonts w:ascii="黑体" w:eastAsia="黑体" w:hAnsi="黑体" w:cs="黑体" w:hint="eastAsia"/>
                <w:snapToGrid w:val="0"/>
                <w:color w:val="000000"/>
                <w:spacing w:val="9"/>
                <w:kern w:val="0"/>
                <w:sz w:val="24"/>
              </w:rPr>
              <w:t>安全防范</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kern w:val="0"/>
                <w:sz w:val="24"/>
              </w:rPr>
            </w:pPr>
            <w:r>
              <w:rPr>
                <w:rFonts w:ascii="黑体" w:eastAsia="黑体" w:hAnsi="黑体" w:cs="黑体" w:hint="eastAsia"/>
                <w:snapToGrid w:val="0"/>
                <w:color w:val="000000"/>
                <w:spacing w:val="9"/>
                <w:kern w:val="0"/>
                <w:sz w:val="24"/>
              </w:rPr>
              <w:t>和应急措</w:t>
            </w:r>
            <w:r>
              <w:rPr>
                <w:rFonts w:ascii="黑体" w:eastAsia="黑体" w:hAnsi="黑体" w:cs="黑体" w:hint="eastAsia"/>
                <w:snapToGrid w:val="0"/>
                <w:color w:val="000000"/>
                <w:spacing w:val="7"/>
                <w:kern w:val="0"/>
                <w:sz w:val="24"/>
              </w:rPr>
              <w:t>施</w:t>
            </w:r>
          </w:p>
        </w:tc>
        <w:tc>
          <w:tcPr>
            <w:tcW w:w="1275" w:type="dxa"/>
            <w:vMerge/>
            <w:tcBorders>
              <w:top w:val="nil"/>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1263" w:type="dxa"/>
            <w:vMerge/>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c>
          <w:tcPr>
            <w:tcW w:w="938" w:type="dxa"/>
            <w:vMerge/>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left"/>
              <w:textAlignment w:val="baseline"/>
              <w:rPr>
                <w:rFonts w:ascii="黑体" w:eastAsia="黑体" w:hAnsi="黑体" w:cs="黑体"/>
                <w:snapToGrid w:val="0"/>
                <w:color w:val="000000"/>
                <w:kern w:val="0"/>
                <w:sz w:val="24"/>
              </w:rPr>
            </w:pPr>
          </w:p>
        </w:tc>
      </w:tr>
      <w:tr w:rsidR="007800EB">
        <w:trPr>
          <w:trHeight w:val="701"/>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1</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r w:rsidR="007800EB">
        <w:trPr>
          <w:trHeight w:val="625"/>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2</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r w:rsidR="007800EB">
        <w:trPr>
          <w:trHeight w:val="619"/>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3</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r w:rsidR="007800EB">
        <w:trPr>
          <w:trHeight w:val="613"/>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4</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r w:rsidR="007800EB">
        <w:trPr>
          <w:trHeight w:val="621"/>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5</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r w:rsidR="007800EB">
        <w:trPr>
          <w:trHeight w:val="615"/>
          <w:jc w:val="center"/>
        </w:trPr>
        <w:tc>
          <w:tcPr>
            <w:tcW w:w="657" w:type="dxa"/>
            <w:tcBorders>
              <w:left w:val="single" w:sz="6" w:space="0" w:color="000000"/>
              <w:right w:val="single" w:sz="4" w:space="0" w:color="000000"/>
            </w:tcBorders>
            <w:vAlign w:val="center"/>
          </w:tcPr>
          <w:p w:rsidR="007800EB" w:rsidRDefault="00D67590">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r>
              <w:rPr>
                <w:rFonts w:ascii="仿宋_GB2312" w:eastAsia="仿宋_GB2312" w:hAnsi="仿宋_GB2312" w:cs="仿宋_GB2312" w:hint="eastAsia"/>
                <w:snapToGrid w:val="0"/>
                <w:color w:val="000000"/>
                <w:kern w:val="0"/>
                <w:sz w:val="24"/>
              </w:rPr>
              <w:t>…</w:t>
            </w:r>
          </w:p>
        </w:tc>
        <w:tc>
          <w:tcPr>
            <w:tcW w:w="1350"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353"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9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0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598"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39"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756"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75" w:type="dxa"/>
            <w:tcBorders>
              <w:left w:val="single" w:sz="4" w:space="0" w:color="000000"/>
              <w:right w:val="single" w:sz="4"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1263"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c>
          <w:tcPr>
            <w:tcW w:w="938" w:type="dxa"/>
            <w:tcBorders>
              <w:left w:val="single" w:sz="4" w:space="0" w:color="000000"/>
              <w:right w:val="single" w:sz="6" w:space="0" w:color="000000"/>
            </w:tcBorders>
            <w:vAlign w:val="center"/>
          </w:tcPr>
          <w:p w:rsidR="007800EB" w:rsidRDefault="007800EB">
            <w:pPr>
              <w:widowControl/>
              <w:kinsoku w:val="0"/>
              <w:overflowPunct w:val="0"/>
              <w:autoSpaceDE w:val="0"/>
              <w:autoSpaceDN w:val="0"/>
              <w:adjustRightInd w:val="0"/>
              <w:snapToGrid w:val="0"/>
              <w:jc w:val="center"/>
              <w:textAlignment w:val="baseline"/>
              <w:rPr>
                <w:rFonts w:ascii="仿宋_GB2312" w:eastAsia="仿宋_GB2312" w:hAnsi="仿宋_GB2312" w:cs="仿宋_GB2312"/>
                <w:snapToGrid w:val="0"/>
                <w:color w:val="000000"/>
                <w:kern w:val="0"/>
                <w:sz w:val="24"/>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43"/>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color w:val="000000"/>
          <w:sz w:val="32"/>
          <w:szCs w:val="32"/>
        </w:rPr>
      </w:pPr>
      <w:bookmarkStart w:id="162" w:name="_Toc2561"/>
      <w:bookmarkStart w:id="163" w:name="_Toc10646"/>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A.12 应急装备和</w:t>
      </w:r>
      <w:proofErr w:type="gramStart"/>
      <w:r>
        <w:rPr>
          <w:rFonts w:ascii="宋体" w:hAnsi="宋体" w:cs="宋体" w:hint="eastAsia"/>
          <w:b/>
          <w:bCs/>
          <w:color w:val="000000"/>
          <w:sz w:val="32"/>
          <w:szCs w:val="32"/>
        </w:rPr>
        <w:t>物资台</w:t>
      </w:r>
      <w:proofErr w:type="gramEnd"/>
      <w:r>
        <w:rPr>
          <w:rFonts w:ascii="宋体" w:hAnsi="宋体" w:cs="宋体" w:hint="eastAsia"/>
          <w:b/>
          <w:bCs/>
          <w:color w:val="000000"/>
          <w:sz w:val="32"/>
          <w:szCs w:val="32"/>
        </w:rPr>
        <w:t>账</w:t>
      </w:r>
      <w:bookmarkEnd w:id="162"/>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961"/>
        <w:gridCol w:w="1530"/>
        <w:gridCol w:w="964"/>
        <w:gridCol w:w="964"/>
        <w:gridCol w:w="964"/>
        <w:gridCol w:w="1530"/>
        <w:gridCol w:w="1530"/>
        <w:gridCol w:w="1530"/>
        <w:gridCol w:w="1988"/>
        <w:gridCol w:w="1673"/>
      </w:tblGrid>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序号</w:t>
            </w:r>
          </w:p>
        </w:tc>
        <w:tc>
          <w:tcPr>
            <w:tcW w:w="961"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类型</w:t>
            </w:r>
          </w:p>
        </w:tc>
        <w:tc>
          <w:tcPr>
            <w:tcW w:w="1530" w:type="dxa"/>
            <w:tcBorders>
              <w:tl2br w:val="nil"/>
              <w:tr2bl w:val="nil"/>
            </w:tcBorders>
            <w:noWrap/>
            <w:vAlign w:val="center"/>
          </w:tcPr>
          <w:p w:rsidR="007800EB" w:rsidRDefault="00D67590">
            <w:pPr>
              <w:overflowPunct w:val="0"/>
              <w:jc w:val="center"/>
              <w:rPr>
                <w:rFonts w:ascii="黑体" w:eastAsia="黑体" w:hAnsi="黑体" w:cs="黑体"/>
                <w:sz w:val="24"/>
                <w:lang w:bidi="ar"/>
              </w:rPr>
            </w:pPr>
            <w:r>
              <w:rPr>
                <w:rFonts w:ascii="黑体" w:eastAsia="黑体" w:hAnsi="黑体" w:cs="黑体" w:hint="eastAsia"/>
                <w:sz w:val="24"/>
                <w:lang w:bidi="ar"/>
              </w:rPr>
              <w:t>物资名称</w:t>
            </w:r>
          </w:p>
        </w:tc>
        <w:tc>
          <w:tcPr>
            <w:tcW w:w="964"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单位</w:t>
            </w:r>
          </w:p>
        </w:tc>
        <w:tc>
          <w:tcPr>
            <w:tcW w:w="964"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规格</w:t>
            </w:r>
          </w:p>
        </w:tc>
        <w:tc>
          <w:tcPr>
            <w:tcW w:w="964"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数量</w:t>
            </w:r>
          </w:p>
        </w:tc>
        <w:tc>
          <w:tcPr>
            <w:tcW w:w="1530"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使用期限</w:t>
            </w:r>
          </w:p>
        </w:tc>
        <w:tc>
          <w:tcPr>
            <w:tcW w:w="1530"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存放地点</w:t>
            </w:r>
          </w:p>
        </w:tc>
        <w:tc>
          <w:tcPr>
            <w:tcW w:w="1530"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管理责任人</w:t>
            </w:r>
          </w:p>
        </w:tc>
        <w:tc>
          <w:tcPr>
            <w:tcW w:w="1988"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责任人联系方式</w:t>
            </w:r>
          </w:p>
        </w:tc>
        <w:tc>
          <w:tcPr>
            <w:tcW w:w="1673" w:type="dxa"/>
            <w:tcBorders>
              <w:tl2br w:val="nil"/>
              <w:tr2bl w:val="nil"/>
            </w:tcBorders>
            <w:noWrap/>
            <w:vAlign w:val="center"/>
          </w:tcPr>
          <w:p w:rsidR="007800EB" w:rsidRDefault="00D67590">
            <w:pPr>
              <w:overflowPunct w:val="0"/>
              <w:jc w:val="center"/>
              <w:rPr>
                <w:rFonts w:ascii="黑体" w:eastAsia="黑体" w:hAnsi="黑体" w:cs="黑体"/>
                <w:sz w:val="24"/>
              </w:rPr>
            </w:pPr>
            <w:r>
              <w:rPr>
                <w:rFonts w:ascii="黑体" w:eastAsia="黑体" w:hAnsi="黑体" w:cs="黑体" w:hint="eastAsia"/>
                <w:sz w:val="24"/>
              </w:rPr>
              <w:t>品牌/备注</w:t>
            </w: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r w:rsidR="007800EB">
        <w:trPr>
          <w:trHeight w:val="680"/>
          <w:jc w:val="center"/>
        </w:trPr>
        <w:tc>
          <w:tcPr>
            <w:tcW w:w="1229" w:type="dxa"/>
            <w:tcBorders>
              <w:tl2br w:val="nil"/>
              <w:tr2bl w:val="nil"/>
            </w:tcBorders>
            <w:noWrap/>
            <w:vAlign w:val="center"/>
          </w:tcPr>
          <w:p w:rsidR="007800EB" w:rsidRDefault="00D67590">
            <w:pPr>
              <w:overflowPunct w:val="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961"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964"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530"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988"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c>
          <w:tcPr>
            <w:tcW w:w="1673" w:type="dxa"/>
            <w:tcBorders>
              <w:tl2br w:val="nil"/>
              <w:tr2bl w:val="nil"/>
            </w:tcBorders>
            <w:noWrap/>
            <w:vAlign w:val="center"/>
          </w:tcPr>
          <w:p w:rsidR="007800EB" w:rsidRDefault="007800EB">
            <w:pPr>
              <w:overflowPunct w:val="0"/>
              <w:jc w:val="center"/>
              <w:rPr>
                <w:rFonts w:ascii="仿宋_GB2312" w:eastAsia="仿宋_GB2312" w:hAnsi="仿宋_GB2312" w:cs="仿宋_GB2312"/>
                <w:sz w:val="24"/>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44"/>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lastRenderedPageBreak/>
        <w:t>A.13 安全生产教育培训记录表</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单位：</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工程：</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tblInd w:w="-348" w:type="dxa"/>
        <w:tblLayout w:type="fixed"/>
        <w:tblLook w:val="04A0" w:firstRow="1" w:lastRow="0" w:firstColumn="1" w:lastColumn="0" w:noHBand="0" w:noVBand="1"/>
      </w:tblPr>
      <w:tblGrid>
        <w:gridCol w:w="2709"/>
        <w:gridCol w:w="2695"/>
        <w:gridCol w:w="2277"/>
        <w:gridCol w:w="2372"/>
        <w:gridCol w:w="2106"/>
        <w:gridCol w:w="2734"/>
      </w:tblGrid>
      <w:tr w:rsidR="007800EB">
        <w:trPr>
          <w:trHeight w:val="567"/>
        </w:trPr>
        <w:tc>
          <w:tcPr>
            <w:tcW w:w="2709" w:type="dxa"/>
            <w:vAlign w:val="center"/>
          </w:tcPr>
          <w:p w:rsidR="007800EB" w:rsidRDefault="00D67590">
            <w:pPr>
              <w:widowControl/>
              <w:snapToGrid w:val="0"/>
              <w:jc w:val="center"/>
              <w:textAlignment w:val="center"/>
              <w:rPr>
                <w:rFonts w:ascii="宋体" w:hAnsi="宋体" w:cs="宋体"/>
                <w:b/>
                <w:bCs/>
                <w:color w:val="000000"/>
                <w:sz w:val="30"/>
                <w:szCs w:val="30"/>
              </w:rPr>
            </w:pPr>
            <w:r>
              <w:rPr>
                <w:rFonts w:ascii="黑体" w:eastAsia="黑体" w:hAnsi="黑体" w:cs="黑体" w:hint="eastAsia"/>
                <w:color w:val="000000"/>
                <w:sz w:val="28"/>
                <w:szCs w:val="28"/>
              </w:rPr>
              <w:t>教育培训名称</w:t>
            </w:r>
          </w:p>
        </w:tc>
        <w:tc>
          <w:tcPr>
            <w:tcW w:w="12184" w:type="dxa"/>
            <w:gridSpan w:val="5"/>
          </w:tcPr>
          <w:p w:rsidR="007800EB" w:rsidRDefault="007800EB">
            <w:pPr>
              <w:widowControl/>
              <w:tabs>
                <w:tab w:val="left" w:pos="3440"/>
              </w:tabs>
              <w:snapToGrid w:val="0"/>
              <w:textAlignment w:val="center"/>
              <w:rPr>
                <w:rFonts w:ascii="仿宋_GB2312" w:eastAsia="仿宋_GB2312" w:hAnsi="仿宋_GB2312" w:cs="仿宋_GB2312"/>
                <w:color w:val="000000"/>
                <w:sz w:val="28"/>
                <w:szCs w:val="28"/>
              </w:rPr>
            </w:pPr>
          </w:p>
        </w:tc>
      </w:tr>
      <w:tr w:rsidR="007800EB">
        <w:trPr>
          <w:trHeight w:val="567"/>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培训类型</w:t>
            </w:r>
          </w:p>
        </w:tc>
        <w:tc>
          <w:tcPr>
            <w:tcW w:w="12184" w:type="dxa"/>
            <w:gridSpan w:val="5"/>
            <w:vAlign w:val="center"/>
          </w:tcPr>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□安管人员安全教育    □岗前安全教育            □转岗安全教育     □四新安全教育        </w:t>
            </w:r>
          </w:p>
          <w:p w:rsidR="007800EB" w:rsidRDefault="00D67590">
            <w:pPr>
              <w:widowControl/>
              <w:snapToGrid w:val="0"/>
              <w:textAlignment w:val="center"/>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□相关方安全教育      □法律、法规、规程教育    □事故警示教育     □其他安全教育</w:t>
            </w:r>
            <w:r>
              <w:rPr>
                <w:rFonts w:ascii="仿宋_GB2312" w:eastAsia="仿宋_GB2312" w:hAnsi="仿宋_GB2312" w:cs="仿宋_GB2312" w:hint="eastAsia"/>
                <w:sz w:val="28"/>
                <w:szCs w:val="28"/>
                <w:u w:val="single"/>
              </w:rPr>
              <w:t xml:space="preserve">           </w:t>
            </w:r>
          </w:p>
        </w:tc>
      </w:tr>
      <w:tr w:rsidR="007800EB">
        <w:trPr>
          <w:trHeight w:val="567"/>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培训形式</w:t>
            </w:r>
          </w:p>
        </w:tc>
        <w:tc>
          <w:tcPr>
            <w:tcW w:w="12184" w:type="dxa"/>
            <w:gridSpan w:val="5"/>
            <w:vAlign w:val="center"/>
          </w:tcPr>
          <w:p w:rsidR="007800EB" w:rsidRDefault="00D67590">
            <w:pPr>
              <w:widowControl/>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□单位自行培训        □委托培训机构 </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□其他</w:t>
            </w:r>
            <w:r>
              <w:rPr>
                <w:rFonts w:ascii="仿宋_GB2312" w:eastAsia="仿宋_GB2312" w:hAnsi="仿宋_GB2312" w:cs="仿宋_GB2312" w:hint="eastAsia"/>
                <w:sz w:val="28"/>
                <w:szCs w:val="28"/>
                <w:u w:val="single"/>
              </w:rPr>
              <w:t xml:space="preserve">           </w:t>
            </w:r>
          </w:p>
        </w:tc>
      </w:tr>
      <w:tr w:rsidR="007800EB">
        <w:trPr>
          <w:trHeight w:val="567"/>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地    点</w:t>
            </w:r>
          </w:p>
        </w:tc>
        <w:tc>
          <w:tcPr>
            <w:tcW w:w="12184" w:type="dxa"/>
            <w:gridSpan w:val="5"/>
          </w:tcPr>
          <w:p w:rsidR="007800EB" w:rsidRDefault="007800EB">
            <w:pPr>
              <w:widowControl/>
              <w:snapToGrid w:val="0"/>
              <w:jc w:val="center"/>
              <w:textAlignment w:val="center"/>
              <w:rPr>
                <w:rFonts w:ascii="仿宋_GB2312" w:eastAsia="仿宋_GB2312" w:hAnsi="仿宋_GB2312" w:cs="仿宋_GB2312"/>
                <w:color w:val="000000"/>
                <w:sz w:val="28"/>
                <w:szCs w:val="28"/>
              </w:rPr>
            </w:pPr>
          </w:p>
        </w:tc>
      </w:tr>
      <w:tr w:rsidR="007800EB">
        <w:trPr>
          <w:trHeight w:val="567"/>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培训日期</w:t>
            </w:r>
          </w:p>
        </w:tc>
        <w:tc>
          <w:tcPr>
            <w:tcW w:w="2695" w:type="dxa"/>
            <w:vAlign w:val="center"/>
          </w:tcPr>
          <w:p w:rsidR="007800EB" w:rsidRDefault="007800EB">
            <w:pPr>
              <w:widowControl/>
              <w:snapToGrid w:val="0"/>
              <w:jc w:val="center"/>
              <w:textAlignment w:val="center"/>
              <w:rPr>
                <w:rFonts w:ascii="仿宋_GB2312" w:eastAsia="仿宋_GB2312" w:hAnsi="仿宋_GB2312" w:cs="仿宋_GB2312"/>
                <w:color w:val="000000"/>
                <w:sz w:val="28"/>
                <w:szCs w:val="28"/>
              </w:rPr>
            </w:pPr>
          </w:p>
        </w:tc>
        <w:tc>
          <w:tcPr>
            <w:tcW w:w="2277"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培训学时</w:t>
            </w:r>
          </w:p>
        </w:tc>
        <w:tc>
          <w:tcPr>
            <w:tcW w:w="2372" w:type="dxa"/>
            <w:vAlign w:val="center"/>
          </w:tcPr>
          <w:p w:rsidR="007800EB" w:rsidRDefault="007800EB">
            <w:pPr>
              <w:widowControl/>
              <w:snapToGrid w:val="0"/>
              <w:jc w:val="center"/>
              <w:textAlignment w:val="center"/>
              <w:rPr>
                <w:rFonts w:ascii="黑体" w:eastAsia="黑体" w:hAnsi="黑体" w:cs="黑体"/>
                <w:color w:val="000000"/>
                <w:sz w:val="28"/>
                <w:szCs w:val="28"/>
              </w:rPr>
            </w:pPr>
          </w:p>
        </w:tc>
        <w:tc>
          <w:tcPr>
            <w:tcW w:w="2106"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参加人数</w:t>
            </w:r>
          </w:p>
        </w:tc>
        <w:tc>
          <w:tcPr>
            <w:tcW w:w="2734" w:type="dxa"/>
            <w:vAlign w:val="center"/>
          </w:tcPr>
          <w:p w:rsidR="007800EB" w:rsidRDefault="00D67590">
            <w:pPr>
              <w:widowControl/>
              <w:snapToGrid w:val="0"/>
              <w:jc w:val="center"/>
              <w:textAlignment w:val="center"/>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（附签到表）</w:t>
            </w:r>
          </w:p>
        </w:tc>
      </w:tr>
      <w:tr w:rsidR="007800EB">
        <w:trPr>
          <w:trHeight w:val="680"/>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主要内容</w:t>
            </w:r>
          </w:p>
        </w:tc>
        <w:tc>
          <w:tcPr>
            <w:tcW w:w="12184" w:type="dxa"/>
            <w:gridSpan w:val="5"/>
            <w:vAlign w:val="center"/>
          </w:tcPr>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color w:val="000000"/>
                <w:sz w:val="28"/>
                <w:szCs w:val="28"/>
              </w:rPr>
              <w:t>（</w:t>
            </w:r>
            <w:r>
              <w:rPr>
                <w:rFonts w:ascii="仿宋_GB2312" w:eastAsia="仿宋_GB2312" w:hAnsi="仿宋_GB2312" w:cs="仿宋_GB2312" w:hint="eastAsia"/>
                <w:sz w:val="28"/>
                <w:szCs w:val="28"/>
              </w:rPr>
              <w:t>相关教育培训资料应附后</w:t>
            </w:r>
            <w:r>
              <w:rPr>
                <w:rFonts w:ascii="仿宋_GB2312" w:eastAsia="仿宋_GB2312" w:hAnsi="仿宋_GB2312" w:cs="仿宋_GB2312" w:hint="eastAsia"/>
                <w:color w:val="000000"/>
                <w:sz w:val="28"/>
                <w:szCs w:val="28"/>
              </w:rPr>
              <w:t>）</w:t>
            </w:r>
          </w:p>
        </w:tc>
      </w:tr>
      <w:tr w:rsidR="007800EB">
        <w:trPr>
          <w:trHeight w:val="2268"/>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培训实施</w:t>
            </w:r>
          </w:p>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效果评价</w:t>
            </w:r>
          </w:p>
        </w:tc>
        <w:tc>
          <w:tcPr>
            <w:tcW w:w="12184" w:type="dxa"/>
            <w:gridSpan w:val="5"/>
          </w:tcPr>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1.考核方式：□书面考试   □实际操作   □课堂提问   □其他</w:t>
            </w:r>
          </w:p>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2.学员反馈：□好   □较好   □一般   □差</w:t>
            </w:r>
          </w:p>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3.应用能力：□好   □较好   □一般   □差</w:t>
            </w:r>
          </w:p>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4.学习态度：□好   □较好   □一般   □差</w:t>
            </w:r>
          </w:p>
          <w:p w:rsidR="007800EB" w:rsidRDefault="00D67590">
            <w:pPr>
              <w:widowControl/>
              <w:snapToGrid w:val="0"/>
              <w:textAlignment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5.是否达到预期效果：□是   □否</w:t>
            </w:r>
          </w:p>
          <w:p w:rsidR="007800EB" w:rsidRDefault="00D67590">
            <w:pPr>
              <w:widowControl/>
              <w:snapToGrid w:val="0"/>
              <w:textAlignment w:val="center"/>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6.有无迟到早退现象：□有   □无</w:t>
            </w:r>
          </w:p>
        </w:tc>
      </w:tr>
      <w:tr w:rsidR="007800EB">
        <w:trPr>
          <w:trHeight w:val="680"/>
        </w:trPr>
        <w:tc>
          <w:tcPr>
            <w:tcW w:w="2709" w:type="dxa"/>
            <w:vAlign w:val="center"/>
          </w:tcPr>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培训适宜性评估</w:t>
            </w:r>
          </w:p>
          <w:p w:rsidR="007800EB" w:rsidRDefault="00D67590">
            <w:pPr>
              <w:widowControl/>
              <w:snapToGrid w:val="0"/>
              <w:jc w:val="center"/>
              <w:textAlignment w:val="center"/>
              <w:rPr>
                <w:rFonts w:ascii="黑体" w:eastAsia="黑体" w:hAnsi="黑体" w:cs="黑体"/>
                <w:color w:val="000000"/>
                <w:sz w:val="28"/>
                <w:szCs w:val="28"/>
              </w:rPr>
            </w:pPr>
            <w:r>
              <w:rPr>
                <w:rFonts w:ascii="黑体" w:eastAsia="黑体" w:hAnsi="黑体" w:cs="黑体" w:hint="eastAsia"/>
                <w:color w:val="000000"/>
                <w:sz w:val="28"/>
                <w:szCs w:val="28"/>
              </w:rPr>
              <w:t>及改进措施</w:t>
            </w:r>
          </w:p>
        </w:tc>
        <w:tc>
          <w:tcPr>
            <w:tcW w:w="12184" w:type="dxa"/>
            <w:gridSpan w:val="5"/>
          </w:tcPr>
          <w:p w:rsidR="007800EB" w:rsidRDefault="007800EB">
            <w:pPr>
              <w:widowControl/>
              <w:snapToGrid w:val="0"/>
              <w:jc w:val="right"/>
              <w:textAlignment w:val="center"/>
              <w:rPr>
                <w:rFonts w:ascii="仿宋_GB2312" w:eastAsia="仿宋_GB2312" w:hAnsi="仿宋_GB2312" w:cs="仿宋_GB2312"/>
                <w:sz w:val="28"/>
                <w:szCs w:val="28"/>
              </w:rPr>
            </w:pPr>
          </w:p>
          <w:p w:rsidR="007800EB" w:rsidRDefault="00D67590">
            <w:pPr>
              <w:widowControl/>
              <w:wordWrap w:val="0"/>
              <w:snapToGrid w:val="0"/>
              <w:jc w:val="right"/>
              <w:textAlignment w:val="center"/>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 xml:space="preserve">评价人：           时间：            </w:t>
            </w:r>
          </w:p>
        </w:tc>
      </w:tr>
    </w:tbl>
    <w:p w:rsidR="007800EB" w:rsidRDefault="007800EB">
      <w:pPr>
        <w:rPr>
          <w:rFonts w:ascii="宋体" w:hAnsi="宋体" w:cs="宋体"/>
          <w:b/>
          <w:bCs/>
          <w:color w:val="000000"/>
          <w:sz w:val="30"/>
          <w:szCs w:val="30"/>
        </w:rPr>
        <w:sectPr w:rsidR="007800EB">
          <w:pgSz w:w="16838" w:h="11906" w:orient="landscape"/>
          <w:pgMar w:top="1803" w:right="1440" w:bottom="1803" w:left="1440" w:header="851" w:footer="992" w:gutter="0"/>
          <w:cols w:space="720"/>
          <w:docGrid w:type="lines" w:linePitch="319"/>
        </w:sectPr>
      </w:pPr>
    </w:p>
    <w:bookmarkEnd w:id="163"/>
    <w:p w:rsidR="007800EB" w:rsidRDefault="007800EB">
      <w:pPr>
        <w:widowControl/>
        <w:jc w:val="center"/>
        <w:textAlignment w:val="center"/>
        <w:outlineLvl w:val="1"/>
        <w:rPr>
          <w:rFonts w:ascii="宋体" w:hAnsi="宋体" w:cs="宋体"/>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A.14 重大风险危险源监管清单</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部门：</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1072"/>
        <w:gridCol w:w="850"/>
        <w:gridCol w:w="850"/>
        <w:gridCol w:w="850"/>
        <w:gridCol w:w="2170"/>
        <w:gridCol w:w="912"/>
        <w:gridCol w:w="2871"/>
        <w:gridCol w:w="1701"/>
        <w:gridCol w:w="1701"/>
        <w:gridCol w:w="1881"/>
      </w:tblGrid>
      <w:tr w:rsidR="007800EB">
        <w:trPr>
          <w:trHeight w:val="762"/>
          <w:tblHeader/>
          <w:jc w:val="center"/>
        </w:trPr>
        <w:tc>
          <w:tcPr>
            <w:tcW w:w="1072"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序号</w:t>
            </w:r>
          </w:p>
        </w:tc>
        <w:tc>
          <w:tcPr>
            <w:tcW w:w="85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单位</w:t>
            </w:r>
          </w:p>
        </w:tc>
        <w:tc>
          <w:tcPr>
            <w:tcW w:w="85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类别</w:t>
            </w:r>
          </w:p>
        </w:tc>
        <w:tc>
          <w:tcPr>
            <w:tcW w:w="85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项目</w:t>
            </w:r>
          </w:p>
        </w:tc>
        <w:tc>
          <w:tcPr>
            <w:tcW w:w="217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重大风险</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危险源名称</w:t>
            </w:r>
          </w:p>
        </w:tc>
        <w:tc>
          <w:tcPr>
            <w:tcW w:w="912"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位置</w:t>
            </w:r>
          </w:p>
        </w:tc>
        <w:tc>
          <w:tcPr>
            <w:tcW w:w="287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监管措施</w:t>
            </w:r>
          </w:p>
        </w:tc>
        <w:tc>
          <w:tcPr>
            <w:tcW w:w="170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监管责任单位</w:t>
            </w:r>
          </w:p>
        </w:tc>
        <w:tc>
          <w:tcPr>
            <w:tcW w:w="170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监督责任人</w:t>
            </w:r>
          </w:p>
        </w:tc>
        <w:tc>
          <w:tcPr>
            <w:tcW w:w="188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联系方式</w:t>
            </w: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567"/>
          <w:jc w:val="center"/>
        </w:trPr>
        <w:tc>
          <w:tcPr>
            <w:tcW w:w="1072"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850" w:type="dxa"/>
            <w:vAlign w:val="center"/>
          </w:tcPr>
          <w:p w:rsidR="007800EB" w:rsidRDefault="007800EB">
            <w:pPr>
              <w:overflowPunct w:val="0"/>
              <w:adjustRightInd w:val="0"/>
              <w:snapToGrid w:val="0"/>
              <w:jc w:val="center"/>
              <w:rPr>
                <w:rFonts w:ascii="仿宋_GB2312" w:eastAsia="仿宋_GB2312" w:hAnsi="仿宋_GB2312" w:cs="仿宋_GB2312"/>
                <w:kern w:val="0"/>
                <w:sz w:val="24"/>
              </w:rPr>
            </w:pPr>
          </w:p>
        </w:tc>
        <w:tc>
          <w:tcPr>
            <w:tcW w:w="217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1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2871"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0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88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45"/>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jc w:val="center"/>
        <w:textAlignment w:val="center"/>
        <w:outlineLvl w:val="1"/>
        <w:rPr>
          <w:rFonts w:ascii="宋体" w:hAnsi="宋体" w:cs="宋体"/>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A.15 重大风险危险</w:t>
      </w:r>
      <w:proofErr w:type="gramStart"/>
      <w:r>
        <w:rPr>
          <w:rFonts w:ascii="宋体" w:hAnsi="宋体" w:cs="宋体" w:hint="eastAsia"/>
          <w:b/>
          <w:bCs/>
          <w:color w:val="000000"/>
          <w:sz w:val="32"/>
          <w:szCs w:val="32"/>
        </w:rPr>
        <w:t>源监督</w:t>
      </w:r>
      <w:proofErr w:type="gramEnd"/>
      <w:r>
        <w:rPr>
          <w:rFonts w:ascii="宋体" w:hAnsi="宋体" w:cs="宋体" w:hint="eastAsia"/>
          <w:b/>
          <w:bCs/>
          <w:color w:val="000000"/>
          <w:sz w:val="32"/>
          <w:szCs w:val="32"/>
        </w:rPr>
        <w:t>检查台账</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部门：</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795"/>
        <w:gridCol w:w="737"/>
        <w:gridCol w:w="737"/>
        <w:gridCol w:w="737"/>
        <w:gridCol w:w="1469"/>
        <w:gridCol w:w="737"/>
        <w:gridCol w:w="1191"/>
        <w:gridCol w:w="1191"/>
        <w:gridCol w:w="1191"/>
        <w:gridCol w:w="1191"/>
        <w:gridCol w:w="1191"/>
        <w:gridCol w:w="1191"/>
        <w:gridCol w:w="1191"/>
        <w:gridCol w:w="1307"/>
      </w:tblGrid>
      <w:tr w:rsidR="007800EB">
        <w:trPr>
          <w:trHeight w:val="902"/>
          <w:tblHeader/>
          <w:jc w:val="center"/>
        </w:trPr>
        <w:tc>
          <w:tcPr>
            <w:tcW w:w="795"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序号</w:t>
            </w:r>
          </w:p>
        </w:tc>
        <w:tc>
          <w:tcPr>
            <w:tcW w:w="73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单位</w:t>
            </w:r>
          </w:p>
        </w:tc>
        <w:tc>
          <w:tcPr>
            <w:tcW w:w="73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类别</w:t>
            </w:r>
          </w:p>
        </w:tc>
        <w:tc>
          <w:tcPr>
            <w:tcW w:w="73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项目</w:t>
            </w:r>
          </w:p>
        </w:tc>
        <w:tc>
          <w:tcPr>
            <w:tcW w:w="1469"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重大风险</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危险源名称</w:t>
            </w:r>
          </w:p>
        </w:tc>
        <w:tc>
          <w:tcPr>
            <w:tcW w:w="73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位置</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管控措施</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现场管控责任人</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部门管控责任人</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监督</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责任人</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监督检查发现问题</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是否属于重大隐患</w:t>
            </w:r>
          </w:p>
        </w:tc>
        <w:tc>
          <w:tcPr>
            <w:tcW w:w="1191"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整改措施</w:t>
            </w:r>
          </w:p>
        </w:tc>
        <w:tc>
          <w:tcPr>
            <w:tcW w:w="1307"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整改情况</w:t>
            </w: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r w:rsidR="007800EB">
        <w:trPr>
          <w:trHeight w:val="567"/>
          <w:jc w:val="center"/>
        </w:trPr>
        <w:tc>
          <w:tcPr>
            <w:tcW w:w="795"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overflowPunct w:val="0"/>
              <w:adjustRightInd w:val="0"/>
              <w:snapToGrid w:val="0"/>
              <w:jc w:val="center"/>
              <w:rPr>
                <w:rFonts w:ascii="黑体" w:eastAsia="黑体" w:hAnsi="黑体" w:cs="黑体"/>
                <w:kern w:val="0"/>
                <w:sz w:val="24"/>
              </w:rPr>
            </w:pPr>
          </w:p>
        </w:tc>
        <w:tc>
          <w:tcPr>
            <w:tcW w:w="1469"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737"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left"/>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191" w:type="dxa"/>
            <w:vAlign w:val="center"/>
          </w:tcPr>
          <w:p w:rsidR="007800EB" w:rsidRDefault="007800EB">
            <w:pPr>
              <w:widowControl/>
              <w:overflowPunct w:val="0"/>
              <w:adjustRightInd w:val="0"/>
              <w:snapToGrid w:val="0"/>
              <w:jc w:val="center"/>
              <w:rPr>
                <w:rFonts w:ascii="黑体" w:eastAsia="黑体" w:hAnsi="黑体" w:cs="黑体"/>
                <w:kern w:val="0"/>
                <w:sz w:val="24"/>
              </w:rPr>
            </w:pPr>
          </w:p>
        </w:tc>
        <w:tc>
          <w:tcPr>
            <w:tcW w:w="1307" w:type="dxa"/>
            <w:vAlign w:val="center"/>
          </w:tcPr>
          <w:p w:rsidR="007800EB" w:rsidRDefault="007800EB">
            <w:pPr>
              <w:widowControl/>
              <w:overflowPunct w:val="0"/>
              <w:adjustRightInd w:val="0"/>
              <w:snapToGrid w:val="0"/>
              <w:jc w:val="center"/>
              <w:rPr>
                <w:rFonts w:ascii="黑体" w:eastAsia="黑体" w:hAnsi="黑体" w:cs="黑体"/>
                <w:kern w:val="0"/>
                <w:sz w:val="24"/>
              </w:rPr>
            </w:pPr>
          </w:p>
        </w:tc>
      </w:tr>
    </w:tbl>
    <w:p w:rsidR="007800EB" w:rsidRDefault="00D67590">
      <w:pPr>
        <w:widowControl/>
        <w:overflowPunct w:val="0"/>
        <w:adjustRightInd w:val="0"/>
        <w:snapToGrid w:val="0"/>
        <w:rPr>
          <w:rFonts w:ascii="仿宋_GB2312" w:eastAsia="仿宋_GB2312" w:hAnsi="仿宋_GB2312" w:cs="仿宋_GB2312"/>
          <w:kern w:val="0"/>
          <w:sz w:val="32"/>
          <w:szCs w:val="32"/>
        </w:rPr>
        <w:sectPr w:rsidR="007800EB">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kern w:val="0"/>
          <w:sz w:val="32"/>
          <w:szCs w:val="32"/>
        </w:rPr>
        <w:t>检查单位：                      检查人员：                         日期：    年  月  日</w:t>
      </w:r>
    </w:p>
    <w:p w:rsidR="007800EB" w:rsidRDefault="007800EB">
      <w:pPr>
        <w:widowControl/>
        <w:jc w:val="center"/>
        <w:textAlignment w:val="center"/>
        <w:outlineLvl w:val="1"/>
        <w:rPr>
          <w:rFonts w:ascii="宋体" w:hAnsi="宋体" w:cs="宋体"/>
          <w:color w:val="000000"/>
          <w:sz w:val="32"/>
          <w:szCs w:val="32"/>
        </w:r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t>A.16 重大事故</w:t>
      </w:r>
      <w:proofErr w:type="gramStart"/>
      <w:r>
        <w:rPr>
          <w:rFonts w:ascii="宋体" w:hAnsi="宋体" w:cs="宋体" w:hint="eastAsia"/>
          <w:b/>
          <w:bCs/>
          <w:color w:val="000000"/>
          <w:sz w:val="32"/>
          <w:szCs w:val="32"/>
        </w:rPr>
        <w:t>隐患台</w:t>
      </w:r>
      <w:proofErr w:type="gramEnd"/>
      <w:r>
        <w:rPr>
          <w:rFonts w:ascii="宋体" w:hAnsi="宋体" w:cs="宋体" w:hint="eastAsia"/>
          <w:b/>
          <w:bCs/>
          <w:color w:val="000000"/>
          <w:sz w:val="32"/>
          <w:szCs w:val="32"/>
        </w:rPr>
        <w:t>账</w:t>
      </w:r>
    </w:p>
    <w:p w:rsidR="007800EB" w:rsidRDefault="00D67590">
      <w:pPr>
        <w:overflowPunct w:val="0"/>
        <w:jc w:val="left"/>
        <w:rPr>
          <w:rFonts w:ascii="楷体" w:eastAsia="楷体" w:hAnsi="楷体" w:cs="楷体"/>
          <w:b/>
          <w:bCs/>
          <w:color w:val="000000"/>
          <w:sz w:val="32"/>
          <w:szCs w:val="32"/>
        </w:rPr>
      </w:pPr>
      <w:r>
        <w:rPr>
          <w:rFonts w:ascii="楷体" w:eastAsia="楷体" w:hAnsi="楷体" w:cs="楷体" w:hint="eastAsia"/>
          <w:snapToGrid w:val="0"/>
          <w:sz w:val="32"/>
          <w:szCs w:val="32"/>
        </w:rPr>
        <w:t>部门：</w:t>
      </w:r>
      <w:r>
        <w:rPr>
          <w:rFonts w:ascii="楷体" w:eastAsia="楷体" w:hAnsi="楷体" w:cs="楷体" w:hint="eastAsia"/>
          <w:snapToGrid w:val="0"/>
          <w:sz w:val="32"/>
          <w:szCs w:val="32"/>
          <w:u w:val="single"/>
        </w:rPr>
        <w:t xml:space="preserve">                    </w:t>
      </w:r>
      <w:r>
        <w:rPr>
          <w:rFonts w:ascii="楷体" w:eastAsia="楷体" w:hAnsi="楷体" w:cs="楷体" w:hint="eastAsia"/>
          <w:snapToGrid w:val="0"/>
          <w:sz w:val="32"/>
          <w:szCs w:val="32"/>
        </w:rPr>
        <w:t xml:space="preserve">                                           编号：                              </w:t>
      </w:r>
    </w:p>
    <w:tbl>
      <w:tblPr>
        <w:tblStyle w:val="af0"/>
        <w:tblW w:w="0" w:type="auto"/>
        <w:jc w:val="center"/>
        <w:tblLayout w:type="fixed"/>
        <w:tblLook w:val="04A0" w:firstRow="1" w:lastRow="0" w:firstColumn="1" w:lastColumn="0" w:noHBand="0" w:noVBand="1"/>
      </w:tblPr>
      <w:tblGrid>
        <w:gridCol w:w="954"/>
        <w:gridCol w:w="1146"/>
        <w:gridCol w:w="1775"/>
        <w:gridCol w:w="1275"/>
        <w:gridCol w:w="1250"/>
        <w:gridCol w:w="1463"/>
        <w:gridCol w:w="1262"/>
        <w:gridCol w:w="950"/>
        <w:gridCol w:w="725"/>
        <w:gridCol w:w="1250"/>
        <w:gridCol w:w="1788"/>
        <w:gridCol w:w="1011"/>
      </w:tblGrid>
      <w:tr w:rsidR="007800EB">
        <w:trPr>
          <w:trHeight w:val="680"/>
          <w:tblHeader/>
          <w:jc w:val="center"/>
        </w:trPr>
        <w:tc>
          <w:tcPr>
            <w:tcW w:w="954"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序号</w:t>
            </w:r>
          </w:p>
        </w:tc>
        <w:tc>
          <w:tcPr>
            <w:tcW w:w="1146" w:type="dxa"/>
            <w:vAlign w:val="center"/>
          </w:tcPr>
          <w:p w:rsidR="007800EB" w:rsidRDefault="00D67590">
            <w:pPr>
              <w:widowControl/>
              <w:overflowPunct w:val="0"/>
              <w:adjustRightInd w:val="0"/>
              <w:snapToGrid w:val="0"/>
              <w:jc w:val="center"/>
              <w:rPr>
                <w:rFonts w:ascii="黑体" w:eastAsia="黑体" w:hAnsi="黑体" w:cs="黑体"/>
                <w:snapToGrid w:val="0"/>
                <w:color w:val="000000"/>
                <w:spacing w:val="7"/>
                <w:kern w:val="0"/>
                <w:sz w:val="24"/>
              </w:rPr>
            </w:pPr>
            <w:r>
              <w:rPr>
                <w:rFonts w:ascii="黑体" w:eastAsia="黑体" w:hAnsi="黑体" w:cs="黑体" w:hint="eastAsia"/>
                <w:kern w:val="0"/>
                <w:sz w:val="24"/>
              </w:rPr>
              <w:t>单位</w:t>
            </w:r>
          </w:p>
        </w:tc>
        <w:tc>
          <w:tcPr>
            <w:tcW w:w="1775"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kern w:val="0"/>
                <w:sz w:val="24"/>
              </w:rPr>
            </w:pPr>
            <w:r>
              <w:rPr>
                <w:rFonts w:ascii="黑体" w:eastAsia="黑体" w:hAnsi="黑体" w:cs="黑体" w:hint="eastAsia"/>
                <w:snapToGrid w:val="0"/>
                <w:color w:val="000000"/>
                <w:spacing w:val="7"/>
                <w:kern w:val="0"/>
                <w:sz w:val="24"/>
              </w:rPr>
              <w:t>重大隐患情</w:t>
            </w:r>
            <w:r>
              <w:rPr>
                <w:rFonts w:ascii="黑体" w:eastAsia="黑体" w:hAnsi="黑体" w:cs="黑体" w:hint="eastAsia"/>
                <w:snapToGrid w:val="0"/>
                <w:color w:val="000000"/>
                <w:spacing w:val="6"/>
                <w:kern w:val="0"/>
                <w:sz w:val="24"/>
              </w:rPr>
              <w:t>况</w:t>
            </w:r>
          </w:p>
        </w:tc>
        <w:tc>
          <w:tcPr>
            <w:tcW w:w="1275"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kern w:val="0"/>
                <w:sz w:val="24"/>
              </w:rPr>
            </w:pPr>
            <w:r>
              <w:rPr>
                <w:rFonts w:ascii="黑体" w:eastAsia="黑体" w:hAnsi="黑体" w:cs="黑体" w:hint="eastAsia"/>
                <w:snapToGrid w:val="0"/>
                <w:color w:val="000000"/>
                <w:spacing w:val="8"/>
                <w:kern w:val="0"/>
                <w:sz w:val="24"/>
              </w:rPr>
              <w:t>检查时间</w:t>
            </w:r>
          </w:p>
        </w:tc>
        <w:tc>
          <w:tcPr>
            <w:tcW w:w="1250"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kern w:val="0"/>
                <w:sz w:val="24"/>
              </w:rPr>
            </w:pPr>
            <w:r>
              <w:rPr>
                <w:rFonts w:ascii="黑体" w:eastAsia="黑体" w:hAnsi="黑体" w:cs="黑体" w:hint="eastAsia"/>
                <w:snapToGrid w:val="0"/>
                <w:color w:val="000000"/>
                <w:spacing w:val="6"/>
                <w:kern w:val="0"/>
                <w:sz w:val="24"/>
              </w:rPr>
              <w:t>检查人员</w:t>
            </w:r>
          </w:p>
        </w:tc>
        <w:tc>
          <w:tcPr>
            <w:tcW w:w="1463"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snapToGrid w:val="0"/>
                <w:color w:val="000000"/>
                <w:spacing w:val="9"/>
                <w:kern w:val="0"/>
                <w:sz w:val="24"/>
              </w:rPr>
              <w:t>整改措施</w:t>
            </w:r>
          </w:p>
        </w:tc>
        <w:tc>
          <w:tcPr>
            <w:tcW w:w="1262"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整改</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责任</w:t>
            </w:r>
            <w:r>
              <w:rPr>
                <w:rFonts w:ascii="黑体" w:eastAsia="黑体" w:hAnsi="黑体" w:cs="黑体" w:hint="eastAsia"/>
                <w:snapToGrid w:val="0"/>
                <w:color w:val="000000"/>
                <w:spacing w:val="7"/>
                <w:kern w:val="0"/>
                <w:sz w:val="24"/>
              </w:rPr>
              <w:t>单位</w:t>
            </w:r>
          </w:p>
        </w:tc>
        <w:tc>
          <w:tcPr>
            <w:tcW w:w="950"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整改</w:t>
            </w:r>
          </w:p>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责任人</w:t>
            </w:r>
          </w:p>
        </w:tc>
        <w:tc>
          <w:tcPr>
            <w:tcW w:w="725" w:type="dxa"/>
            <w:vAlign w:val="center"/>
          </w:tcPr>
          <w:p w:rsidR="007800EB" w:rsidRDefault="00D67590">
            <w:pPr>
              <w:widowControl/>
              <w:overflowPunct w:val="0"/>
              <w:adjustRightInd w:val="0"/>
              <w:snapToGrid w:val="0"/>
              <w:jc w:val="center"/>
              <w:rPr>
                <w:rFonts w:ascii="黑体" w:eastAsia="黑体" w:hAnsi="黑体" w:cs="黑体"/>
                <w:kern w:val="0"/>
                <w:sz w:val="24"/>
              </w:rPr>
            </w:pPr>
            <w:r>
              <w:rPr>
                <w:rFonts w:ascii="黑体" w:eastAsia="黑体" w:hAnsi="黑体" w:cs="黑体" w:hint="eastAsia"/>
                <w:kern w:val="0"/>
                <w:sz w:val="24"/>
              </w:rPr>
              <w:t>整改期限</w:t>
            </w:r>
          </w:p>
        </w:tc>
        <w:tc>
          <w:tcPr>
            <w:tcW w:w="1250"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kern w:val="0"/>
                <w:sz w:val="24"/>
              </w:rPr>
            </w:pPr>
            <w:r>
              <w:rPr>
                <w:rFonts w:ascii="黑体" w:eastAsia="黑体" w:hAnsi="黑体" w:cs="黑体" w:hint="eastAsia"/>
                <w:snapToGrid w:val="0"/>
                <w:color w:val="000000"/>
                <w:spacing w:val="6"/>
                <w:kern w:val="0"/>
                <w:sz w:val="24"/>
              </w:rPr>
              <w:t>整改结果</w:t>
            </w:r>
          </w:p>
        </w:tc>
        <w:tc>
          <w:tcPr>
            <w:tcW w:w="1788"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rPr>
            </w:pPr>
            <w:r>
              <w:rPr>
                <w:rFonts w:ascii="黑体" w:eastAsia="黑体" w:hAnsi="黑体" w:cs="黑体" w:hint="eastAsia"/>
                <w:snapToGrid w:val="0"/>
                <w:color w:val="000000"/>
                <w:spacing w:val="8"/>
                <w:kern w:val="0"/>
                <w:sz w:val="24"/>
              </w:rPr>
              <w:t>审核销号</w:t>
            </w:r>
          </w:p>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kern w:val="0"/>
                <w:sz w:val="24"/>
              </w:rPr>
            </w:pPr>
            <w:r>
              <w:rPr>
                <w:rFonts w:ascii="黑体" w:eastAsia="黑体" w:hAnsi="黑体" w:cs="黑体" w:hint="eastAsia"/>
                <w:snapToGrid w:val="0"/>
                <w:color w:val="000000"/>
                <w:spacing w:val="8"/>
                <w:kern w:val="0"/>
                <w:sz w:val="24"/>
              </w:rPr>
              <w:t>意见及时间</w:t>
            </w:r>
          </w:p>
        </w:tc>
        <w:tc>
          <w:tcPr>
            <w:tcW w:w="1011" w:type="dxa"/>
            <w:vAlign w:val="center"/>
          </w:tcPr>
          <w:p w:rsidR="007800EB" w:rsidRDefault="00D67590">
            <w:pPr>
              <w:widowControl/>
              <w:kinsoku w:val="0"/>
              <w:overflowPunct w:val="0"/>
              <w:autoSpaceDE w:val="0"/>
              <w:autoSpaceDN w:val="0"/>
              <w:adjustRightInd w:val="0"/>
              <w:snapToGrid w:val="0"/>
              <w:jc w:val="center"/>
              <w:textAlignment w:val="baseline"/>
              <w:rPr>
                <w:rFonts w:ascii="黑体" w:eastAsia="黑体" w:hAnsi="黑体" w:cs="黑体"/>
                <w:snapToGrid w:val="0"/>
                <w:color w:val="000000"/>
                <w:spacing w:val="8"/>
                <w:kern w:val="0"/>
                <w:sz w:val="24"/>
              </w:rPr>
            </w:pPr>
            <w:r>
              <w:rPr>
                <w:rFonts w:ascii="黑体" w:eastAsia="黑体" w:hAnsi="黑体" w:cs="黑体" w:hint="eastAsia"/>
                <w:snapToGrid w:val="0"/>
                <w:color w:val="000000"/>
                <w:spacing w:val="8"/>
                <w:kern w:val="0"/>
                <w:sz w:val="24"/>
              </w:rPr>
              <w:t>审核人</w:t>
            </w: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r w:rsidR="007800EB">
        <w:trPr>
          <w:trHeight w:val="680"/>
          <w:jc w:val="center"/>
        </w:trPr>
        <w:tc>
          <w:tcPr>
            <w:tcW w:w="954" w:type="dxa"/>
            <w:vAlign w:val="center"/>
          </w:tcPr>
          <w:p w:rsidR="007800EB" w:rsidRDefault="00D67590">
            <w:pPr>
              <w:overflowPunct w:val="0"/>
              <w:adjustRightInd w:val="0"/>
              <w:snapToGrid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146"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7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463" w:type="dxa"/>
            <w:vAlign w:val="center"/>
          </w:tcPr>
          <w:p w:rsidR="007800EB" w:rsidRDefault="007800EB">
            <w:pPr>
              <w:widowControl/>
              <w:overflowPunct w:val="0"/>
              <w:adjustRightInd w:val="0"/>
              <w:snapToGrid w:val="0"/>
              <w:jc w:val="left"/>
              <w:rPr>
                <w:rFonts w:ascii="仿宋_GB2312" w:eastAsia="仿宋_GB2312" w:hAnsi="仿宋_GB2312" w:cs="仿宋_GB2312"/>
                <w:kern w:val="0"/>
                <w:sz w:val="24"/>
              </w:rPr>
            </w:pPr>
          </w:p>
        </w:tc>
        <w:tc>
          <w:tcPr>
            <w:tcW w:w="1262"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9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725"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250"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788"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c>
          <w:tcPr>
            <w:tcW w:w="1011" w:type="dxa"/>
            <w:vAlign w:val="center"/>
          </w:tcPr>
          <w:p w:rsidR="007800EB" w:rsidRDefault="007800EB">
            <w:pPr>
              <w:widowControl/>
              <w:overflowPunct w:val="0"/>
              <w:adjustRightInd w:val="0"/>
              <w:snapToGrid w:val="0"/>
              <w:jc w:val="center"/>
              <w:rPr>
                <w:rFonts w:ascii="仿宋_GB2312" w:eastAsia="仿宋_GB2312" w:hAnsi="仿宋_GB2312" w:cs="仿宋_GB2312"/>
                <w:kern w:val="0"/>
                <w:sz w:val="24"/>
              </w:rPr>
            </w:pPr>
          </w:p>
        </w:tc>
      </w:tr>
    </w:tbl>
    <w:p w:rsidR="007800EB" w:rsidRDefault="00D67590">
      <w:pPr>
        <w:overflowPunct w:val="0"/>
        <w:jc w:val="left"/>
        <w:rPr>
          <w:rFonts w:ascii="仿宋_GB2312" w:eastAsia="仿宋_GB2312" w:hAnsi="仿宋_GB2312" w:cs="仿宋_GB2312"/>
          <w:snapToGrid w:val="0"/>
          <w:sz w:val="32"/>
          <w:szCs w:val="32"/>
        </w:rPr>
        <w:sectPr w:rsidR="007800EB">
          <w:footerReference w:type="default" r:id="rId46"/>
          <w:pgSz w:w="16838" w:h="11906" w:orient="landscape"/>
          <w:pgMar w:top="1803" w:right="1440" w:bottom="1803" w:left="1440" w:header="851" w:footer="992" w:gutter="0"/>
          <w:cols w:space="720"/>
          <w:docGrid w:type="lines" w:linePitch="319"/>
        </w:sectPr>
      </w:pPr>
      <w:r>
        <w:rPr>
          <w:rFonts w:ascii="仿宋_GB2312" w:eastAsia="仿宋_GB2312" w:hAnsi="仿宋_GB2312" w:cs="仿宋_GB2312" w:hint="eastAsia"/>
          <w:snapToGrid w:val="0"/>
          <w:sz w:val="32"/>
          <w:szCs w:val="32"/>
        </w:rPr>
        <w:t>制表人：                            审核人：                      日期：    年  月  日</w:t>
      </w:r>
    </w:p>
    <w:p w:rsidR="007800EB" w:rsidRDefault="007800EB">
      <w:pPr>
        <w:widowControl/>
        <w:spacing w:line="600" w:lineRule="exact"/>
        <w:jc w:val="center"/>
        <w:textAlignment w:val="center"/>
        <w:outlineLvl w:val="1"/>
        <w:rPr>
          <w:rFonts w:ascii="宋体" w:hAnsi="宋体" w:cs="宋体"/>
          <w:color w:val="000000"/>
          <w:sz w:val="32"/>
          <w:szCs w:val="32"/>
        </w:rPr>
      </w:pPr>
    </w:p>
    <w:p w:rsidR="007800EB" w:rsidRDefault="00D67590">
      <w:pPr>
        <w:widowControl/>
        <w:spacing w:line="600" w:lineRule="exact"/>
        <w:jc w:val="center"/>
        <w:textAlignment w:val="center"/>
        <w:rPr>
          <w:rFonts w:ascii="宋体" w:hAnsi="宋体" w:cs="宋体"/>
          <w:b/>
          <w:bCs/>
          <w:color w:val="000000"/>
          <w:sz w:val="32"/>
          <w:szCs w:val="32"/>
        </w:rPr>
      </w:pPr>
      <w:r>
        <w:rPr>
          <w:rFonts w:ascii="宋体" w:hAnsi="宋体" w:cs="宋体" w:hint="eastAsia"/>
          <w:b/>
          <w:bCs/>
          <w:color w:val="000000"/>
          <w:sz w:val="32"/>
          <w:szCs w:val="32"/>
        </w:rPr>
        <w:t>A.17 应急演练方案提纲</w:t>
      </w:r>
    </w:p>
    <w:p w:rsidR="007800EB" w:rsidRDefault="007800EB">
      <w:pPr>
        <w:spacing w:line="600" w:lineRule="exact"/>
        <w:ind w:firstLineChars="200" w:firstLine="640"/>
        <w:rPr>
          <w:rFonts w:ascii="仿宋_GB2312" w:eastAsia="仿宋_GB2312" w:hAnsi="仿宋_GB2312" w:cs="仿宋_GB2312"/>
          <w:color w:val="000000"/>
          <w:sz w:val="32"/>
          <w:szCs w:val="32"/>
        </w:rPr>
      </w:pP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1.演练目的及要求</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简述应急演练指导思想和工作背景、工作原则，提出拟达到的预期效果，如检验应急预案的可操作性、提高相关部门和人员</w:t>
      </w:r>
      <w:proofErr w:type="gramStart"/>
      <w:r>
        <w:rPr>
          <w:rFonts w:ascii="仿宋_GB2312" w:eastAsia="仿宋_GB2312" w:hAnsi="仿宋_GB2312" w:cs="仿宋_GB2312" w:hint="eastAsia"/>
          <w:color w:val="000000"/>
          <w:sz w:val="32"/>
          <w:szCs w:val="32"/>
        </w:rPr>
        <w:t>履</w:t>
      </w:r>
      <w:proofErr w:type="gramEnd"/>
      <w:r>
        <w:rPr>
          <w:rFonts w:ascii="仿宋_GB2312" w:eastAsia="仿宋_GB2312" w:hAnsi="仿宋_GB2312" w:cs="仿宋_GB2312" w:hint="eastAsia"/>
          <w:color w:val="000000"/>
          <w:sz w:val="32"/>
          <w:szCs w:val="32"/>
        </w:rPr>
        <w:t>职能力及应急反应能力、修改完善应急预案等。</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2.事故情景</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拟定本次模拟演练情景概述，可根据本单位实际情况和演练目的模拟设定事故情形。</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3.参与人员及范围</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明确演练参与人员及范围。</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4.时间与地点</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明确具体演练时间与演练地点。</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5.组织机构及职责</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简述应急演练指挥领导机构，如成立“应急演练指挥领导小组”，明确领导机构成员及对应的工作职责分工，结合模拟演练情景需要，在应急演练指挥领导小组下，还可另设演习人员、控制人员、评价人员、模拟人员、观摩人员等，并明确对应的工作职责。</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6.筹备工作内容</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简述应急演练前期准备工作情况，如召开应急演练动员大会、介绍演练相关事项、明确各参演人员分组及各自岗位</w:t>
      </w:r>
      <w:r>
        <w:rPr>
          <w:rFonts w:ascii="仿宋_GB2312" w:eastAsia="仿宋_GB2312" w:hAnsi="仿宋_GB2312" w:cs="仿宋_GB2312" w:hint="eastAsia"/>
          <w:color w:val="000000"/>
          <w:sz w:val="32"/>
          <w:szCs w:val="32"/>
        </w:rPr>
        <w:lastRenderedPageBreak/>
        <w:t>职责、学习熟悉工作方案、准备应急物资及设备等。</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7.主要工作步骤</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以时间为轴线，列明各时间节点拟演练的情景设定，并匹配不同情景设定下对应的参演人员及其工作内容。</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8.技术支撑及保障条件</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梳理应急演练过程中需涉及的处置措施、急救方法、物资清单、存放位置以及注意事项等内容。</w:t>
      </w:r>
    </w:p>
    <w:p w:rsidR="007800EB" w:rsidRDefault="00D67590">
      <w:pPr>
        <w:spacing w:line="600" w:lineRule="exac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9.评估与总结</w:t>
      </w:r>
    </w:p>
    <w:p w:rsidR="007800EB" w:rsidRDefault="00D67590">
      <w:pPr>
        <w:spacing w:line="60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演练完成后，应急演练指挥领导小组应组织召开总结大会，对演练过程情况进行讲评，指出演练存在的不足并提出改进建议更新应急预案等内容。</w:t>
      </w:r>
    </w:p>
    <w:p w:rsidR="007800EB" w:rsidRDefault="007800EB">
      <w:pPr>
        <w:pStyle w:val="a7"/>
        <w:spacing w:after="0" w:line="600" w:lineRule="exact"/>
        <w:ind w:firstLine="320"/>
        <w:rPr>
          <w:rFonts w:ascii="仿宋_GB2312" w:eastAsia="仿宋_GB2312" w:hAnsi="仿宋_GB2312" w:cs="仿宋_GB2312"/>
          <w:sz w:val="32"/>
          <w:szCs w:val="32"/>
        </w:rPr>
        <w:sectPr w:rsidR="007800EB">
          <w:pgSz w:w="11906" w:h="16838"/>
          <w:pgMar w:top="1440" w:right="1803" w:bottom="1440" w:left="1803" w:header="851" w:footer="992" w:gutter="0"/>
          <w:cols w:space="720"/>
          <w:docGrid w:type="lines" w:linePitch="319"/>
        </w:sectPr>
      </w:pP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lastRenderedPageBreak/>
        <w:t>B.1 安全风险空间分布图（示例）</w:t>
      </w:r>
    </w:p>
    <w:p w:rsidR="007800EB" w:rsidRDefault="00D67590">
      <w:pPr>
        <w:pStyle w:val="21"/>
        <w:overflowPunct w:val="0"/>
        <w:ind w:firstLineChars="0" w:firstLine="0"/>
        <w:jc w:val="center"/>
      </w:pPr>
      <w:r>
        <w:rPr>
          <w:noProof/>
        </w:rPr>
        <w:drawing>
          <wp:inline distT="0" distB="0" distL="0" distR="0" wp14:anchorId="2344762B" wp14:editId="14761575">
            <wp:extent cx="5886450" cy="3962400"/>
            <wp:effectExtent l="0" t="0" r="0" b="0"/>
            <wp:docPr id="27" name="图片 10" descr="febf6b80c68f536e223468741b11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febf6b80c68f536e223468741b11c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86450" cy="3962400"/>
                    </a:xfrm>
                    <a:prstGeom prst="rect">
                      <a:avLst/>
                    </a:prstGeom>
                    <a:noFill/>
                    <a:ln>
                      <a:noFill/>
                    </a:ln>
                    <a:effectLst/>
                  </pic:spPr>
                </pic:pic>
              </a:graphicData>
            </a:graphic>
          </wp:inline>
        </w:drawing>
      </w:r>
    </w:p>
    <w:p w:rsidR="007800EB" w:rsidRDefault="00D67590">
      <w:pPr>
        <w:pStyle w:val="a7"/>
        <w:ind w:firstLineChars="0" w:firstLine="0"/>
        <w:jc w:val="center"/>
        <w:rPr>
          <w:sz w:val="32"/>
          <w:szCs w:val="32"/>
        </w:rPr>
        <w:sectPr w:rsidR="007800EB">
          <w:pgSz w:w="16838" w:h="11906" w:orient="landscape"/>
          <w:pgMar w:top="1803" w:right="1440" w:bottom="1803" w:left="1440" w:header="851" w:footer="992" w:gutter="0"/>
          <w:cols w:space="720"/>
          <w:docGrid w:type="lines" w:linePitch="319"/>
        </w:sectPr>
      </w:pPr>
      <w:r>
        <w:rPr>
          <w:rFonts w:hint="eastAsia"/>
          <w:sz w:val="32"/>
          <w:szCs w:val="32"/>
        </w:rPr>
        <w:t>（上</w:t>
      </w:r>
      <w:proofErr w:type="gramStart"/>
      <w:r>
        <w:rPr>
          <w:rFonts w:hint="eastAsia"/>
          <w:sz w:val="32"/>
          <w:szCs w:val="32"/>
        </w:rPr>
        <w:t>图有关</w:t>
      </w:r>
      <w:proofErr w:type="gramEnd"/>
      <w:r>
        <w:rPr>
          <w:rFonts w:hint="eastAsia"/>
          <w:sz w:val="32"/>
          <w:szCs w:val="32"/>
        </w:rPr>
        <w:t>内容仅供参考）</w:t>
      </w:r>
    </w:p>
    <w:p w:rsidR="007800EB" w:rsidRDefault="00D67590">
      <w:pPr>
        <w:widowControl/>
        <w:jc w:val="center"/>
        <w:textAlignment w:val="center"/>
        <w:rPr>
          <w:rFonts w:ascii="宋体" w:hAnsi="宋体" w:cs="宋体"/>
          <w:b/>
          <w:bCs/>
          <w:color w:val="000000"/>
          <w:sz w:val="32"/>
          <w:szCs w:val="32"/>
        </w:rPr>
      </w:pPr>
      <w:bookmarkStart w:id="164" w:name="_Toc24229"/>
      <w:r>
        <w:rPr>
          <w:rFonts w:ascii="宋体" w:hAnsi="宋体" w:cs="宋体" w:hint="eastAsia"/>
          <w:b/>
          <w:bCs/>
          <w:color w:val="000000"/>
          <w:sz w:val="32"/>
          <w:szCs w:val="32"/>
        </w:rPr>
        <w:lastRenderedPageBreak/>
        <w:t>B.2 安全风险公告栏（示例）</w:t>
      </w:r>
      <w:bookmarkEnd w:id="164"/>
    </w:p>
    <w:p w:rsidR="007800EB" w:rsidRDefault="00D67590">
      <w:pPr>
        <w:pStyle w:val="a7"/>
        <w:ind w:firstLineChars="0" w:firstLine="0"/>
        <w:jc w:val="center"/>
      </w:pPr>
      <w:r>
        <w:rPr>
          <w:noProof/>
        </w:rPr>
        <w:drawing>
          <wp:inline distT="0" distB="0" distL="0" distR="0" wp14:anchorId="1121E812" wp14:editId="5CD0C7B7">
            <wp:extent cx="5486400" cy="4140200"/>
            <wp:effectExtent l="0" t="0" r="0" b="0"/>
            <wp:docPr id="28" name="图片 11" descr="b31c3cfd8bbb1f5848c46e11c35d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b31c3cfd8bbb1f5848c46e11c35dfa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86400" cy="4140200"/>
                    </a:xfrm>
                    <a:prstGeom prst="rect">
                      <a:avLst/>
                    </a:prstGeom>
                    <a:noFill/>
                    <a:ln>
                      <a:noFill/>
                    </a:ln>
                    <a:effectLst/>
                  </pic:spPr>
                </pic:pic>
              </a:graphicData>
            </a:graphic>
          </wp:inline>
        </w:drawing>
      </w:r>
    </w:p>
    <w:p w:rsidR="007800EB" w:rsidRDefault="00D67590">
      <w:pPr>
        <w:pStyle w:val="a6"/>
        <w:jc w:val="center"/>
        <w:rPr>
          <w:rFonts w:ascii="仿宋" w:eastAsia="仿宋" w:hAnsi="仿宋" w:cs="仿宋"/>
          <w:sz w:val="32"/>
          <w:szCs w:val="32"/>
        </w:rPr>
        <w:sectPr w:rsidR="007800EB">
          <w:pgSz w:w="16838" w:h="11906" w:orient="landscape"/>
          <w:pgMar w:top="1803" w:right="1440" w:bottom="1803" w:left="1440" w:header="851" w:footer="992" w:gutter="0"/>
          <w:cols w:space="720"/>
          <w:docGrid w:type="lines" w:linePitch="319"/>
        </w:sectPr>
      </w:pPr>
      <w:r>
        <w:rPr>
          <w:rFonts w:ascii="仿宋" w:eastAsia="仿宋" w:hAnsi="仿宋" w:cs="仿宋" w:hint="eastAsia"/>
          <w:sz w:val="32"/>
          <w:szCs w:val="32"/>
        </w:rPr>
        <w:t>（上</w:t>
      </w:r>
      <w:proofErr w:type="gramStart"/>
      <w:r>
        <w:rPr>
          <w:rFonts w:ascii="仿宋" w:eastAsia="仿宋" w:hAnsi="仿宋" w:cs="仿宋" w:hint="eastAsia"/>
          <w:sz w:val="32"/>
          <w:szCs w:val="32"/>
        </w:rPr>
        <w:t>图有关</w:t>
      </w:r>
      <w:proofErr w:type="gramEnd"/>
      <w:r>
        <w:rPr>
          <w:rFonts w:ascii="仿宋" w:eastAsia="仿宋" w:hAnsi="仿宋" w:cs="仿宋" w:hint="eastAsia"/>
          <w:sz w:val="32"/>
          <w:szCs w:val="32"/>
        </w:rPr>
        <w:t>内容仅供参考）</w:t>
      </w:r>
    </w:p>
    <w:p w:rsidR="007800EB" w:rsidRDefault="00D67590">
      <w:pPr>
        <w:widowControl/>
        <w:jc w:val="center"/>
        <w:textAlignment w:val="center"/>
        <w:rPr>
          <w:rFonts w:ascii="宋体" w:hAnsi="宋体" w:cs="宋体"/>
          <w:b/>
          <w:bCs/>
          <w:color w:val="000000"/>
          <w:sz w:val="32"/>
          <w:szCs w:val="32"/>
        </w:rPr>
      </w:pPr>
      <w:bookmarkStart w:id="165" w:name="_Toc673"/>
      <w:r>
        <w:rPr>
          <w:rFonts w:ascii="宋体" w:hAnsi="宋体" w:cs="宋体" w:hint="eastAsia"/>
          <w:b/>
          <w:bCs/>
          <w:color w:val="000000"/>
          <w:sz w:val="32"/>
          <w:szCs w:val="32"/>
        </w:rPr>
        <w:lastRenderedPageBreak/>
        <w:t>B.3 重大风险警示牌（示例）</w:t>
      </w:r>
      <w:bookmarkEnd w:id="165"/>
    </w:p>
    <w:p w:rsidR="007800EB" w:rsidRDefault="00D67590">
      <w:pPr>
        <w:jc w:val="center"/>
      </w:pPr>
      <w:r>
        <w:rPr>
          <w:rFonts w:hint="eastAsia"/>
          <w:noProof/>
        </w:rPr>
        <w:drawing>
          <wp:inline distT="0" distB="0" distL="0" distR="0" wp14:anchorId="508A94C4" wp14:editId="6F7A0282">
            <wp:extent cx="5702300" cy="4140200"/>
            <wp:effectExtent l="0" t="0" r="0" b="0"/>
            <wp:docPr id="29" name="图片 12" descr="0e41e8e85991299cc1ef46c368d5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0e41e8e85991299cc1ef46c368d5c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702300" cy="4140200"/>
                    </a:xfrm>
                    <a:prstGeom prst="rect">
                      <a:avLst/>
                    </a:prstGeom>
                    <a:noFill/>
                    <a:ln>
                      <a:noFill/>
                    </a:ln>
                    <a:effectLst/>
                  </pic:spPr>
                </pic:pic>
              </a:graphicData>
            </a:graphic>
          </wp:inline>
        </w:drawing>
      </w:r>
    </w:p>
    <w:p w:rsidR="007800EB" w:rsidRDefault="00D67590">
      <w:pPr>
        <w:pStyle w:val="a6"/>
        <w:jc w:val="center"/>
        <w:rPr>
          <w:rFonts w:ascii="仿宋" w:eastAsia="仿宋" w:hAnsi="仿宋" w:cs="仿宋"/>
          <w:sz w:val="32"/>
          <w:szCs w:val="32"/>
        </w:rPr>
        <w:sectPr w:rsidR="007800EB">
          <w:pgSz w:w="16838" w:h="11906" w:orient="landscape"/>
          <w:pgMar w:top="1803" w:right="1440" w:bottom="1803" w:left="1440" w:header="851" w:footer="992" w:gutter="0"/>
          <w:cols w:space="720"/>
          <w:docGrid w:type="lines" w:linePitch="319"/>
        </w:sectPr>
      </w:pPr>
      <w:r>
        <w:rPr>
          <w:rFonts w:ascii="仿宋" w:eastAsia="仿宋" w:hAnsi="仿宋" w:cs="仿宋" w:hint="eastAsia"/>
          <w:sz w:val="32"/>
          <w:szCs w:val="32"/>
        </w:rPr>
        <w:t>（上</w:t>
      </w:r>
      <w:proofErr w:type="gramStart"/>
      <w:r>
        <w:rPr>
          <w:rFonts w:ascii="仿宋" w:eastAsia="仿宋" w:hAnsi="仿宋" w:cs="仿宋" w:hint="eastAsia"/>
          <w:sz w:val="32"/>
          <w:szCs w:val="32"/>
        </w:rPr>
        <w:t>图有关</w:t>
      </w:r>
      <w:proofErr w:type="gramEnd"/>
      <w:r>
        <w:rPr>
          <w:rFonts w:ascii="仿宋" w:eastAsia="仿宋" w:hAnsi="仿宋" w:cs="仿宋" w:hint="eastAsia"/>
          <w:sz w:val="32"/>
          <w:szCs w:val="32"/>
        </w:rPr>
        <w:t>内容仅供参考）</w:t>
      </w:r>
    </w:p>
    <w:p w:rsidR="007800EB" w:rsidRDefault="00D67590">
      <w:pPr>
        <w:widowControl/>
        <w:jc w:val="center"/>
        <w:textAlignment w:val="center"/>
        <w:rPr>
          <w:rFonts w:ascii="宋体" w:hAnsi="宋体" w:cs="宋体"/>
          <w:b/>
          <w:bCs/>
          <w:color w:val="000000"/>
          <w:sz w:val="32"/>
          <w:szCs w:val="32"/>
        </w:rPr>
      </w:pPr>
      <w:bookmarkStart w:id="166" w:name="_Toc4770"/>
      <w:r>
        <w:rPr>
          <w:rFonts w:ascii="宋体" w:hAnsi="宋体" w:cs="宋体" w:hint="eastAsia"/>
          <w:b/>
          <w:bCs/>
          <w:color w:val="000000"/>
          <w:sz w:val="32"/>
          <w:szCs w:val="32"/>
        </w:rPr>
        <w:lastRenderedPageBreak/>
        <w:t>B.4 岗位风险告知卡（示例）</w:t>
      </w:r>
      <w:bookmarkEnd w:id="166"/>
    </w:p>
    <w:p w:rsidR="007800EB" w:rsidRDefault="00D67590">
      <w:pPr>
        <w:jc w:val="center"/>
        <w:rPr>
          <w:rFonts w:ascii="仿宋_GB2312" w:eastAsia="仿宋_GB2312" w:hAnsi="仿宋_GB2312" w:cs="仿宋_GB2312"/>
          <w:b/>
          <w:bCs/>
          <w:color w:val="000000"/>
          <w:sz w:val="32"/>
          <w:szCs w:val="32"/>
        </w:rPr>
      </w:pPr>
      <w:r>
        <w:rPr>
          <w:rFonts w:ascii="仿宋_GB2312" w:eastAsia="仿宋_GB2312" w:hAnsi="仿宋_GB2312" w:cs="仿宋_GB2312" w:hint="eastAsia"/>
          <w:b/>
          <w:bCs/>
          <w:noProof/>
          <w:color w:val="000000"/>
          <w:sz w:val="32"/>
          <w:szCs w:val="32"/>
        </w:rPr>
        <w:drawing>
          <wp:inline distT="0" distB="0" distL="0" distR="0" wp14:anchorId="36BF373A" wp14:editId="60B68B9A">
            <wp:extent cx="5295900" cy="7562850"/>
            <wp:effectExtent l="0" t="0" r="0" b="0"/>
            <wp:docPr id="30" name="图片 13" descr="d65dfbed73f23f08062faf2737fa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d65dfbed73f23f08062faf2737fa8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95900" cy="7562850"/>
                    </a:xfrm>
                    <a:prstGeom prst="rect">
                      <a:avLst/>
                    </a:prstGeom>
                    <a:noFill/>
                    <a:ln>
                      <a:noFill/>
                    </a:ln>
                    <a:effectLst/>
                  </pic:spPr>
                </pic:pic>
              </a:graphicData>
            </a:graphic>
          </wp:inline>
        </w:drawing>
      </w:r>
    </w:p>
    <w:p w:rsidR="007800EB" w:rsidRDefault="00D67590">
      <w:pPr>
        <w:pStyle w:val="a6"/>
        <w:jc w:val="center"/>
        <w:rPr>
          <w:rFonts w:ascii="仿宋" w:eastAsia="仿宋" w:hAnsi="仿宋" w:cs="仿宋"/>
          <w:sz w:val="32"/>
          <w:szCs w:val="32"/>
        </w:rPr>
        <w:sectPr w:rsidR="007800EB">
          <w:headerReference w:type="default" r:id="rId51"/>
          <w:footerReference w:type="default" r:id="rId52"/>
          <w:pgSz w:w="11906" w:h="16838"/>
          <w:pgMar w:top="1440" w:right="1803" w:bottom="1440" w:left="1803" w:header="851" w:footer="992" w:gutter="0"/>
          <w:cols w:space="720"/>
          <w:docGrid w:type="lines" w:linePitch="332"/>
        </w:sectPr>
      </w:pPr>
      <w:r>
        <w:rPr>
          <w:rFonts w:ascii="仿宋" w:eastAsia="仿宋" w:hAnsi="仿宋" w:cs="仿宋" w:hint="eastAsia"/>
          <w:sz w:val="32"/>
          <w:szCs w:val="32"/>
        </w:rPr>
        <w:t>（上</w:t>
      </w:r>
      <w:proofErr w:type="gramStart"/>
      <w:r>
        <w:rPr>
          <w:rFonts w:ascii="仿宋" w:eastAsia="仿宋" w:hAnsi="仿宋" w:cs="仿宋" w:hint="eastAsia"/>
          <w:sz w:val="32"/>
          <w:szCs w:val="32"/>
        </w:rPr>
        <w:t>图有关</w:t>
      </w:r>
      <w:proofErr w:type="gramEnd"/>
      <w:r>
        <w:rPr>
          <w:rFonts w:ascii="仿宋" w:eastAsia="仿宋" w:hAnsi="仿宋" w:cs="仿宋" w:hint="eastAsia"/>
          <w:sz w:val="32"/>
          <w:szCs w:val="32"/>
        </w:rPr>
        <w:t>内容仅供参考）</w:t>
      </w:r>
    </w:p>
    <w:p w:rsidR="007800EB" w:rsidRDefault="00D67590">
      <w:pPr>
        <w:widowControl/>
        <w:jc w:val="center"/>
        <w:textAlignment w:val="center"/>
        <w:rPr>
          <w:rFonts w:ascii="宋体" w:hAnsi="宋体" w:cs="宋体"/>
          <w:b/>
          <w:bCs/>
          <w:color w:val="000000"/>
          <w:sz w:val="32"/>
          <w:szCs w:val="32"/>
        </w:rPr>
      </w:pPr>
      <w:r>
        <w:rPr>
          <w:rFonts w:ascii="宋体" w:hAnsi="宋体" w:cs="宋体" w:hint="eastAsia"/>
          <w:b/>
          <w:bCs/>
          <w:color w:val="000000"/>
          <w:sz w:val="32"/>
          <w:szCs w:val="32"/>
        </w:rPr>
        <w:lastRenderedPageBreak/>
        <w:t>B.5 起重设备应急处置卡（示例）</w:t>
      </w:r>
    </w:p>
    <w:p w:rsidR="007800EB" w:rsidRDefault="00D67590">
      <w:pPr>
        <w:pStyle w:val="a6"/>
        <w:jc w:val="center"/>
      </w:pPr>
      <w:r>
        <w:rPr>
          <w:noProof/>
        </w:rPr>
        <w:drawing>
          <wp:inline distT="0" distB="0" distL="0" distR="0" wp14:anchorId="5616837D" wp14:editId="38BF2582">
            <wp:extent cx="6045200" cy="4248150"/>
            <wp:effectExtent l="0" t="0" r="0" b="0"/>
            <wp:docPr id="31" name="图片 6" descr="f17ce023d0c7a3afeba88d5d85f7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f17ce023d0c7a3afeba88d5d85f7cc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045200" cy="4248150"/>
                    </a:xfrm>
                    <a:prstGeom prst="rect">
                      <a:avLst/>
                    </a:prstGeom>
                    <a:noFill/>
                    <a:ln>
                      <a:noFill/>
                    </a:ln>
                    <a:effectLst/>
                  </pic:spPr>
                </pic:pic>
              </a:graphicData>
            </a:graphic>
          </wp:inline>
        </w:drawing>
      </w:r>
    </w:p>
    <w:p w:rsidR="007800EB" w:rsidRDefault="00D67590">
      <w:pPr>
        <w:pStyle w:val="a6"/>
        <w:jc w:val="center"/>
        <w:rPr>
          <w:rFonts w:ascii="仿宋_GB2312" w:eastAsia="仿宋_GB2312" w:hAnsi="仿宋_GB2312" w:cs="仿宋_GB2312"/>
          <w:b/>
          <w:bCs/>
          <w:sz w:val="32"/>
          <w:szCs w:val="32"/>
        </w:rPr>
      </w:pPr>
      <w:r>
        <w:rPr>
          <w:rFonts w:ascii="仿宋" w:eastAsia="仿宋" w:hAnsi="仿宋" w:cs="仿宋" w:hint="eastAsia"/>
          <w:sz w:val="32"/>
          <w:szCs w:val="32"/>
        </w:rPr>
        <w:t>（上</w:t>
      </w:r>
      <w:proofErr w:type="gramStart"/>
      <w:r>
        <w:rPr>
          <w:rFonts w:ascii="仿宋" w:eastAsia="仿宋" w:hAnsi="仿宋" w:cs="仿宋" w:hint="eastAsia"/>
          <w:sz w:val="32"/>
          <w:szCs w:val="32"/>
        </w:rPr>
        <w:t>图有关</w:t>
      </w:r>
      <w:proofErr w:type="gramEnd"/>
      <w:r>
        <w:rPr>
          <w:rFonts w:ascii="仿宋" w:eastAsia="仿宋" w:hAnsi="仿宋" w:cs="仿宋" w:hint="eastAsia"/>
          <w:sz w:val="32"/>
          <w:szCs w:val="32"/>
        </w:rPr>
        <w:t>内容仅供参考）</w:t>
      </w:r>
    </w:p>
    <w:sectPr w:rsidR="007800EB">
      <w:footerReference w:type="default" r:id="rId54"/>
      <w:pgSz w:w="16838" w:h="11906" w:orient="landscape"/>
      <w:pgMar w:top="1803" w:right="1440" w:bottom="1803" w:left="1440"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333" w:rsidRDefault="007A2333">
      <w:r>
        <w:separator/>
      </w:r>
    </w:p>
  </w:endnote>
  <w:endnote w:type="continuationSeparator" w:id="0">
    <w:p w:rsidR="007A2333" w:rsidRDefault="007A2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楷体_GBK">
    <w:altName w:val="Arial Unicode MS"/>
    <w:charset w:val="86"/>
    <w:family w:val="auto"/>
    <w:pitch w:val="default"/>
    <w:sig w:usb0="00000000" w:usb1="08000000" w:usb2="00000000" w:usb3="00000000" w:csb0="00040000" w:csb1="00000000"/>
  </w:font>
  <w:font w:name="楷体_GB2312">
    <w:altName w:val="楷体"/>
    <w:charset w:val="86"/>
    <w:family w:val="auto"/>
    <w:pitch w:val="default"/>
    <w:sig w:usb0="00000000" w:usb1="00000000" w:usb2="00000000" w:usb3="00000000" w:csb0="00040000" w:csb1="00000000"/>
  </w:font>
  <w:font w:name="方正黑体_GBK">
    <w:altName w:val="Arial Unicode MS"/>
    <w:charset w:val="86"/>
    <w:family w:val="auto"/>
    <w:pitch w:val="default"/>
    <w:sig w:usb0="00000000" w:usb1="08000000" w:usb2="00000000" w:usb3="00000000" w:csb0="00040000" w:csb1="00000000"/>
  </w:font>
  <w:font w:name="汉仪书宋二S">
    <w:altName w:val="Arial Unicode MS"/>
    <w:charset w:val="86"/>
    <w:family w:val="auto"/>
    <w:pitch w:val="default"/>
    <w:sig w:usb0="00000010" w:usb1="18EF7CFA" w:usb2="00000016" w:usb3="00000000" w:csb0="00040000" w:csb1="00000000"/>
  </w:font>
  <w:font w:name="方正书宋_GBK">
    <w:altName w:val="Arial Unicode MS"/>
    <w:charset w:val="86"/>
    <w:family w:val="auto"/>
    <w:pitch w:val="default"/>
    <w:sig w:usb0="00000000" w:usb1="08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7800EB">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61824" behindDoc="0" locked="0" layoutInCell="1" allowOverlap="1" wp14:anchorId="336DBA54" wp14:editId="13920282">
              <wp:simplePos x="0" y="0"/>
              <wp:positionH relativeFrom="margin">
                <wp:align>center</wp:align>
              </wp:positionH>
              <wp:positionV relativeFrom="paragraph">
                <wp:posOffset>0</wp:posOffset>
              </wp:positionV>
              <wp:extent cx="267335" cy="230505"/>
              <wp:effectExtent l="0" t="0" r="0" b="0"/>
              <wp:wrapNone/>
              <wp:docPr id="201231489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103</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4" type="#_x0000_t202" style="position:absolute;margin-left:0;margin-top:0;width:21.05pt;height:18.15pt;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103</w:t>
                    </w:r>
                    <w:r>
                      <w:rPr>
                        <w:rFonts w:ascii="宋体" w:hAnsi="宋体" w:cs="宋体" w:hint="eastAsia"/>
                        <w:sz w:val="28"/>
                        <w:szCs w:val="28"/>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6704" behindDoc="0" locked="0" layoutInCell="1" allowOverlap="1" wp14:anchorId="6376EE78" wp14:editId="64A7691A">
              <wp:simplePos x="0" y="0"/>
              <wp:positionH relativeFrom="margin">
                <wp:align>center</wp:align>
              </wp:positionH>
              <wp:positionV relativeFrom="paragraph">
                <wp:posOffset>0</wp:posOffset>
              </wp:positionV>
              <wp:extent cx="267335" cy="230505"/>
              <wp:effectExtent l="0" t="0" r="0" b="0"/>
              <wp:wrapNone/>
              <wp:docPr id="15923246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104</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35" type="#_x0000_t202" style="position:absolute;margin-left:0;margin-top:0;width:21.05pt;height:18.1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104</w:t>
                    </w:r>
                    <w:r>
                      <w:rPr>
                        <w:rFonts w:ascii="宋体" w:hAnsi="宋体" w:cs="宋体" w:hint="eastAsia"/>
                        <w:sz w:val="28"/>
                        <w:szCs w:val="28"/>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7728" behindDoc="0" locked="0" layoutInCell="1" allowOverlap="1" wp14:anchorId="0577FFC9" wp14:editId="679C86BA">
              <wp:simplePos x="0" y="0"/>
              <wp:positionH relativeFrom="margin">
                <wp:align>center</wp:align>
              </wp:positionH>
              <wp:positionV relativeFrom="paragraph">
                <wp:posOffset>0</wp:posOffset>
              </wp:positionV>
              <wp:extent cx="267335" cy="230505"/>
              <wp:effectExtent l="0" t="0" r="0" b="0"/>
              <wp:wrapNone/>
              <wp:docPr id="1328632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106</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36" type="#_x0000_t202" style="position:absolute;margin-left:0;margin-top:0;width:21.05pt;height:18.1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106</w:t>
                    </w:r>
                    <w:r>
                      <w:rPr>
                        <w:rFonts w:ascii="宋体" w:hAnsi="宋体" w:cs="宋体" w:hint="eastAsia"/>
                        <w:sz w:val="28"/>
                        <w:szCs w:val="28"/>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8752" behindDoc="0" locked="0" layoutInCell="1" allowOverlap="1" wp14:anchorId="7AE97D0F" wp14:editId="6A6FB370">
              <wp:simplePos x="0" y="0"/>
              <wp:positionH relativeFrom="margin">
                <wp:align>center</wp:align>
              </wp:positionH>
              <wp:positionV relativeFrom="paragraph">
                <wp:posOffset>0</wp:posOffset>
              </wp:positionV>
              <wp:extent cx="267335" cy="230505"/>
              <wp:effectExtent l="0" t="0" r="0" b="0"/>
              <wp:wrapNone/>
              <wp:docPr id="9820706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108</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37" type="#_x0000_t202" style="position:absolute;margin-left:0;margin-top:0;width:21.05pt;height:18.1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108</w:t>
                    </w:r>
                    <w:r>
                      <w:rPr>
                        <w:rFonts w:ascii="宋体" w:hAnsi="宋体" w:cs="宋体" w:hint="eastAsia"/>
                        <w:sz w:val="28"/>
                        <w:szCs w:val="28"/>
                      </w:rP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9776" behindDoc="0" locked="0" layoutInCell="1" allowOverlap="1" wp14:anchorId="5A43CDCA" wp14:editId="763AB31E">
              <wp:simplePos x="0" y="0"/>
              <wp:positionH relativeFrom="margin">
                <wp:align>center</wp:align>
              </wp:positionH>
              <wp:positionV relativeFrom="paragraph">
                <wp:posOffset>0</wp:posOffset>
              </wp:positionV>
              <wp:extent cx="267335" cy="230505"/>
              <wp:effectExtent l="0" t="0" r="0" b="0"/>
              <wp:wrapNone/>
              <wp:docPr id="16873858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114</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38" type="#_x0000_t202" style="position:absolute;margin-left:0;margin-top:0;width:21.05pt;height:18.15pt;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114</w:t>
                    </w:r>
                    <w:r>
                      <w:rPr>
                        <w:rFonts w:ascii="宋体" w:hAnsi="宋体" w:cs="宋体" w:hint="eastAsia"/>
                        <w:sz w:val="28"/>
                        <w:szCs w:val="28"/>
                      </w:rP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ind w:firstLine="360"/>
    </w:pPr>
    <w:r>
      <w:rPr>
        <w:noProof/>
      </w:rPr>
      <mc:AlternateContent>
        <mc:Choice Requires="wps">
          <w:drawing>
            <wp:anchor distT="0" distB="0" distL="114300" distR="114300" simplePos="0" relativeHeight="251651584" behindDoc="0" locked="0" layoutInCell="1" allowOverlap="1" wp14:anchorId="44F685F3" wp14:editId="407DA573">
              <wp:simplePos x="0" y="0"/>
              <wp:positionH relativeFrom="margin">
                <wp:align>center</wp:align>
              </wp:positionH>
              <wp:positionV relativeFrom="paragraph">
                <wp:posOffset>0</wp:posOffset>
              </wp:positionV>
              <wp:extent cx="402590" cy="139700"/>
              <wp:effectExtent l="0" t="0" r="0" b="0"/>
              <wp:wrapNone/>
              <wp:docPr id="163120179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9700"/>
                      </a:xfrm>
                      <a:prstGeom prst="rect">
                        <a:avLst/>
                      </a:prstGeom>
                      <a:noFill/>
                      <a:ln>
                        <a:noFill/>
                      </a:ln>
                      <a:effectLst/>
                    </wps:spPr>
                    <wps:txbx>
                      <w:txbxContent>
                        <w:p w:rsidR="007800EB" w:rsidRDefault="00D67590">
                          <w:pPr>
                            <w:pStyle w:val="ab"/>
                            <w:ind w:firstLine="360"/>
                            <w:rPr>
                              <w:rFonts w:ascii="方正书宋_GBK" w:eastAsia="方正书宋_GBK" w:hAnsi="方正书宋_GBK" w:cs="方正书宋_GBK"/>
                              <w:sz w:val="28"/>
                              <w:szCs w:val="28"/>
                            </w:rPr>
                          </w:pPr>
                          <w:r>
                            <w:rPr>
                              <w:rFonts w:ascii="方正书宋_GBK" w:eastAsia="方正书宋_GBK" w:hAnsi="方正书宋_GBK" w:cs="方正书宋_GBK" w:hint="eastAsia"/>
                              <w:sz w:val="28"/>
                              <w:szCs w:val="28"/>
                            </w:rPr>
                            <w:fldChar w:fldCharType="begin"/>
                          </w:r>
                          <w:r>
                            <w:rPr>
                              <w:rFonts w:ascii="方正书宋_GBK" w:eastAsia="方正书宋_GBK" w:hAnsi="方正书宋_GBK" w:cs="方正书宋_GBK" w:hint="eastAsia"/>
                              <w:sz w:val="28"/>
                              <w:szCs w:val="28"/>
                            </w:rPr>
                            <w:instrText xml:space="preserve"> PAGE  \* MERGEFORMAT </w:instrText>
                          </w:r>
                          <w:r>
                            <w:rPr>
                              <w:rFonts w:ascii="方正书宋_GBK" w:eastAsia="方正书宋_GBK" w:hAnsi="方正书宋_GBK" w:cs="方正书宋_GBK" w:hint="eastAsia"/>
                              <w:sz w:val="28"/>
                              <w:szCs w:val="28"/>
                            </w:rPr>
                            <w:fldChar w:fldCharType="separate"/>
                          </w:r>
                          <w:r w:rsidR="00D77CAD">
                            <w:rPr>
                              <w:rFonts w:ascii="方正书宋_GBK" w:eastAsia="方正书宋_GBK" w:hAnsi="方正书宋_GBK" w:cs="方正书宋_GBK"/>
                              <w:noProof/>
                              <w:sz w:val="28"/>
                              <w:szCs w:val="28"/>
                            </w:rPr>
                            <w:t>115</w:t>
                          </w:r>
                          <w:r>
                            <w:rPr>
                              <w:rFonts w:ascii="方正书宋_GBK" w:eastAsia="方正书宋_GBK" w:hAnsi="方正书宋_GBK" w:cs="方正书宋_GBK"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9" type="#_x0000_t202" style="position:absolute;left:0;text-align:left;margin-left:0;margin-top:0;width:31.7pt;height:11pt;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" filled="f" stroked="f">
              <v:textbox style="mso-fit-shape-to-text:t" inset="0,0,0,0">
                <w:txbxContent>
                  <w:p w:rsidR="007800EB" w:rsidRDefault="00D67590">
                    <w:pPr>
                      <w:pStyle w:val="ab"/>
                      <w:ind w:firstLine="360"/>
                      <w:rPr>
                        <w:rFonts w:ascii="方正书宋_GBK" w:eastAsia="方正书宋_GBK" w:hAnsi="方正书宋_GBK" w:cs="方正书宋_GBK"/>
                        <w:sz w:val="28"/>
                        <w:szCs w:val="28"/>
                      </w:rPr>
                    </w:pPr>
                    <w:r>
                      <w:rPr>
                        <w:rFonts w:ascii="方正书宋_GBK" w:eastAsia="方正书宋_GBK" w:hAnsi="方正书宋_GBK" w:cs="方正书宋_GBK" w:hint="eastAsia"/>
                        <w:sz w:val="28"/>
                        <w:szCs w:val="28"/>
                      </w:rPr>
                      <w:fldChar w:fldCharType="begin"/>
                    </w:r>
                    <w:r>
                      <w:rPr>
                        <w:rFonts w:ascii="方正书宋_GBK" w:eastAsia="方正书宋_GBK" w:hAnsi="方正书宋_GBK" w:cs="方正书宋_GBK" w:hint="eastAsia"/>
                        <w:sz w:val="28"/>
                        <w:szCs w:val="28"/>
                      </w:rPr>
                      <w:instrText xml:space="preserve"> PAGE  \* MERGEFORMAT </w:instrText>
                    </w:r>
                    <w:r>
                      <w:rPr>
                        <w:rFonts w:ascii="方正书宋_GBK" w:eastAsia="方正书宋_GBK" w:hAnsi="方正书宋_GBK" w:cs="方正书宋_GBK" w:hint="eastAsia"/>
                        <w:sz w:val="28"/>
                        <w:szCs w:val="28"/>
                      </w:rPr>
                      <w:fldChar w:fldCharType="separate"/>
                    </w:r>
                    <w:r w:rsidR="00D77CAD">
                      <w:rPr>
                        <w:rFonts w:ascii="方正书宋_GBK" w:eastAsia="方正书宋_GBK" w:hAnsi="方正书宋_GBK" w:cs="方正书宋_GBK"/>
                        <w:noProof/>
                        <w:sz w:val="28"/>
                        <w:szCs w:val="28"/>
                      </w:rPr>
                      <w:t>115</w:t>
                    </w:r>
                    <w:r>
                      <w:rPr>
                        <w:rFonts w:ascii="方正书宋_GBK" w:eastAsia="方正书宋_GBK" w:hAnsi="方正书宋_GBK" w:cs="方正书宋_GBK" w:hint="eastAsia"/>
                        <w:sz w:val="28"/>
                        <w:szCs w:val="28"/>
                      </w:rP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267335" cy="230505"/>
              <wp:effectExtent l="0" t="0" r="0" b="0"/>
              <wp:wrapNone/>
              <wp:docPr id="17782248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116</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0" type="#_x0000_t202" style="position:absolute;margin-left:0;margin-top:0;width:21.05pt;height:18.15pt;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116</w:t>
                    </w:r>
                    <w:r>
                      <w:rPr>
                        <w:rFonts w:ascii="宋体" w:hAnsi="宋体" w:cs="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2608" behindDoc="0" locked="0" layoutInCell="1" allowOverlap="1" wp14:anchorId="065FC405" wp14:editId="22EFB96D">
              <wp:simplePos x="0" y="0"/>
              <wp:positionH relativeFrom="margin">
                <wp:align>center</wp:align>
              </wp:positionH>
              <wp:positionV relativeFrom="paragraph">
                <wp:posOffset>0</wp:posOffset>
              </wp:positionV>
              <wp:extent cx="89535" cy="230505"/>
              <wp:effectExtent l="0" t="0" r="0" b="0"/>
              <wp:wrapNone/>
              <wp:docPr id="87520479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2</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7.05pt;height:18.15pt;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2</w:t>
                    </w:r>
                    <w:r>
                      <w:rPr>
                        <w:rFonts w:ascii="宋体" w:hAnsi="宋体" w:cs="宋体" w:hint="eastAsia"/>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62848" behindDoc="0" locked="0" layoutInCell="1" allowOverlap="1" wp14:anchorId="61A95A9F" wp14:editId="39065F4D">
              <wp:simplePos x="0" y="0"/>
              <wp:positionH relativeFrom="margin">
                <wp:align>center</wp:align>
              </wp:positionH>
              <wp:positionV relativeFrom="paragraph">
                <wp:posOffset>0</wp:posOffset>
              </wp:positionV>
              <wp:extent cx="89535" cy="230505"/>
              <wp:effectExtent l="0" t="0" r="0" b="0"/>
              <wp:wrapNone/>
              <wp:docPr id="8661682"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3</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7" type="#_x0000_t202" style="position:absolute;margin-left:0;margin-top:0;width:7.05pt;height:18.15pt;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3</w:t>
                    </w:r>
                    <w:r>
                      <w:rPr>
                        <w:rFonts w:ascii="宋体" w:hAnsi="宋体" w:cs="宋体" w:hint="eastAsia"/>
                        <w:sz w:val="28"/>
                        <w:szCs w:val="2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63872" behindDoc="0" locked="0" layoutInCell="1" allowOverlap="1" wp14:anchorId="4482E922" wp14:editId="6D36A739">
              <wp:simplePos x="0" y="0"/>
              <wp:positionH relativeFrom="margin">
                <wp:align>center</wp:align>
              </wp:positionH>
              <wp:positionV relativeFrom="paragraph">
                <wp:posOffset>0</wp:posOffset>
              </wp:positionV>
              <wp:extent cx="89535" cy="230505"/>
              <wp:effectExtent l="0" t="0" r="0" b="0"/>
              <wp:wrapNone/>
              <wp:docPr id="7039158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4</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28" type="#_x0000_t202" style="position:absolute;margin-left:0;margin-top:0;width:7.05pt;height:18.15pt;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4</w:t>
                    </w:r>
                    <w:r>
                      <w:rPr>
                        <w:rFonts w:ascii="宋体" w:hAnsi="宋体" w:cs="宋体" w:hint="eastAsia"/>
                        <w:sz w:val="28"/>
                        <w:szCs w:val="28"/>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64896" behindDoc="0" locked="0" layoutInCell="1" allowOverlap="1" wp14:anchorId="64BA28CC" wp14:editId="54BBF3F3">
              <wp:simplePos x="0" y="0"/>
              <wp:positionH relativeFrom="margin">
                <wp:align>center</wp:align>
              </wp:positionH>
              <wp:positionV relativeFrom="paragraph">
                <wp:posOffset>0</wp:posOffset>
              </wp:positionV>
              <wp:extent cx="89535" cy="230505"/>
              <wp:effectExtent l="0" t="0" r="0" b="0"/>
              <wp:wrapNone/>
              <wp:docPr id="1259527042"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6</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29" type="#_x0000_t202" style="position:absolute;margin-left:0;margin-top:0;width:7.05pt;height:18.15pt;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6</w:t>
                    </w:r>
                    <w:r>
                      <w:rPr>
                        <w:rFonts w:ascii="宋体" w:hAnsi="宋体" w:cs="宋体" w:hint="eastAsia"/>
                        <w:sz w:val="28"/>
                        <w:szCs w:val="2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3632" behindDoc="0" locked="0" layoutInCell="1" allowOverlap="1" wp14:anchorId="498A82F3" wp14:editId="61CE7DAA">
              <wp:simplePos x="0" y="0"/>
              <wp:positionH relativeFrom="margin">
                <wp:align>center</wp:align>
              </wp:positionH>
              <wp:positionV relativeFrom="paragraph">
                <wp:posOffset>0</wp:posOffset>
              </wp:positionV>
              <wp:extent cx="178435" cy="230505"/>
              <wp:effectExtent l="0" t="0" r="0" b="0"/>
              <wp:wrapNone/>
              <wp:docPr id="991809237"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95</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0" type="#_x0000_t202" style="position:absolute;margin-left:0;margin-top:0;width:14.05pt;height:18.15pt;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95</w:t>
                    </w:r>
                    <w:r>
                      <w:rPr>
                        <w:rFonts w:ascii="宋体" w:hAnsi="宋体" w:cs="宋体" w:hint="eastAsia"/>
                        <w:sz w:val="28"/>
                        <w:szCs w:val="28"/>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4656" behindDoc="0" locked="0" layoutInCell="1" allowOverlap="1" wp14:anchorId="49B7D759" wp14:editId="2CCD3D16">
              <wp:simplePos x="0" y="0"/>
              <wp:positionH relativeFrom="margin">
                <wp:align>center</wp:align>
              </wp:positionH>
              <wp:positionV relativeFrom="paragraph">
                <wp:posOffset>0</wp:posOffset>
              </wp:positionV>
              <wp:extent cx="178435" cy="230505"/>
              <wp:effectExtent l="0" t="0" r="0" b="0"/>
              <wp:wrapNone/>
              <wp:docPr id="9491131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96</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31" type="#_x0000_t202" style="position:absolute;margin-left:0;margin-top:0;width:14.05pt;height:18.15pt;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96</w:t>
                    </w:r>
                    <w:r>
                      <w:rPr>
                        <w:rFonts w:ascii="宋体" w:hAnsi="宋体" w:cs="宋体" w:hint="eastAsia"/>
                        <w:sz w:val="28"/>
                        <w:szCs w:val="2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55680" behindDoc="0" locked="0" layoutInCell="1" allowOverlap="1" wp14:anchorId="58AD40F8" wp14:editId="09A24AFB">
              <wp:simplePos x="0" y="0"/>
              <wp:positionH relativeFrom="margin">
                <wp:align>center</wp:align>
              </wp:positionH>
              <wp:positionV relativeFrom="paragraph">
                <wp:posOffset>0</wp:posOffset>
              </wp:positionV>
              <wp:extent cx="178435" cy="230505"/>
              <wp:effectExtent l="0" t="0" r="0" b="0"/>
              <wp:wrapNone/>
              <wp:docPr id="1594138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0505"/>
                      </a:xfrm>
                      <a:prstGeom prst="rect">
                        <a:avLst/>
                      </a:prstGeom>
                      <a:noFill/>
                      <a:ln>
                        <a:noFill/>
                      </a:ln>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97</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0;margin-top:0;width:14.05pt;height:18.15pt;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97</w:t>
                    </w:r>
                    <w:r>
                      <w:rPr>
                        <w:rFonts w:ascii="宋体" w:hAnsi="宋体" w:cs="宋体" w:hint="eastAsia"/>
                        <w:sz w:val="28"/>
                        <w:szCs w:val="2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D67590">
    <w:pPr>
      <w:pStyle w:val="ab"/>
    </w:pPr>
    <w:r>
      <w:rPr>
        <w:noProof/>
      </w:rPr>
      <mc:AlternateContent>
        <mc:Choice Requires="wps">
          <w:drawing>
            <wp:anchor distT="0" distB="0" distL="114300" distR="114300" simplePos="0" relativeHeight="251660800" behindDoc="0" locked="0" layoutInCell="1" allowOverlap="1" wp14:anchorId="32232D57" wp14:editId="0A8F3841">
              <wp:simplePos x="0" y="0"/>
              <wp:positionH relativeFrom="margin">
                <wp:align>center</wp:align>
              </wp:positionH>
              <wp:positionV relativeFrom="paragraph">
                <wp:posOffset>0</wp:posOffset>
              </wp:positionV>
              <wp:extent cx="178435" cy="230505"/>
              <wp:effectExtent l="0" t="0" r="0" b="0"/>
              <wp:wrapNone/>
              <wp:docPr id="1246282615"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0505"/>
                      </a:xfrm>
                      <a:prstGeom prst="rect">
                        <a:avLst/>
                      </a:prstGeom>
                      <a:noFill/>
                      <a:ln>
                        <a:noFill/>
                      </a:ln>
                      <a:effectLst/>
                    </wps:spPr>
                    <wps:txbx>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98</w:t>
                          </w:r>
                          <w:r>
                            <w:rPr>
                              <w:rFonts w:ascii="宋体" w:hAnsi="宋体" w:cs="宋体" w:hint="eastAsia"/>
                              <w:sz w:val="28"/>
                              <w:szCs w:val="2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3" type="#_x0000_t202" style="position:absolute;margin-left:0;margin-top:0;width:14.05pt;height:18.15pt;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" filled="f" stroked="f">
              <v:textbox style="mso-fit-shape-to-text:t" inset="0,0,0,0">
                <w:txbxContent>
                  <w:p w:rsidR="007800EB" w:rsidRDefault="00D67590">
                    <w:pPr>
                      <w:pStyle w:val="ab"/>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D77CAD">
                      <w:rPr>
                        <w:rFonts w:ascii="宋体" w:hAnsi="宋体" w:cs="宋体"/>
                        <w:noProof/>
                        <w:sz w:val="28"/>
                        <w:szCs w:val="28"/>
                      </w:rPr>
                      <w:t>98</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333" w:rsidRDefault="007A2333">
      <w:r>
        <w:separator/>
      </w:r>
    </w:p>
  </w:footnote>
  <w:footnote w:type="continuationSeparator" w:id="0">
    <w:p w:rsidR="007A2333" w:rsidRDefault="007A2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EB" w:rsidRDefault="007800EB">
    <w:pPr>
      <w:pStyle w:val="ac"/>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9"/>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ZDM2Y2UxODZhZmE2MjIzYjE4MjU1ZTk5NDk2NDQifQ=="/>
    <w:docVar w:name="KSO_WPS_MARK_KEY" w:val="8f654add-1d4d-4baf-b9b5-72ee063b306b"/>
  </w:docVars>
  <w:rsids>
    <w:rsidRoot w:val="00DE5491"/>
    <w:rsid w:val="BA6BC016"/>
    <w:rsid w:val="BAE8CBBF"/>
    <w:rsid w:val="BAFF9102"/>
    <w:rsid w:val="BB3FD883"/>
    <w:rsid w:val="BBDF2181"/>
    <w:rsid w:val="BBDF2D2D"/>
    <w:rsid w:val="BBEB2488"/>
    <w:rsid w:val="BBFB2070"/>
    <w:rsid w:val="BD7EFBF1"/>
    <w:rsid w:val="BDD6E39A"/>
    <w:rsid w:val="BDE2BE25"/>
    <w:rsid w:val="BDEC4B66"/>
    <w:rsid w:val="BE5F1F61"/>
    <w:rsid w:val="BE67C52B"/>
    <w:rsid w:val="BE7982B2"/>
    <w:rsid w:val="BE9FEAE6"/>
    <w:rsid w:val="BEBD8049"/>
    <w:rsid w:val="BEBFB940"/>
    <w:rsid w:val="BED3E37E"/>
    <w:rsid w:val="BEFBE3A8"/>
    <w:rsid w:val="BF6F2334"/>
    <w:rsid w:val="BF7B89F9"/>
    <w:rsid w:val="BF9D520B"/>
    <w:rsid w:val="BFA234AF"/>
    <w:rsid w:val="BFE2FC69"/>
    <w:rsid w:val="BFE3AE3C"/>
    <w:rsid w:val="BFF7C746"/>
    <w:rsid w:val="C1BF9829"/>
    <w:rsid w:val="C7FADDB6"/>
    <w:rsid w:val="C9566DD0"/>
    <w:rsid w:val="CCF3AD6B"/>
    <w:rsid w:val="CD9F67D6"/>
    <w:rsid w:val="CF7D2F36"/>
    <w:rsid w:val="CFB54149"/>
    <w:rsid w:val="D19F81D6"/>
    <w:rsid w:val="D23AB576"/>
    <w:rsid w:val="D4EDB79E"/>
    <w:rsid w:val="D4FB232E"/>
    <w:rsid w:val="D5DE011C"/>
    <w:rsid w:val="D5FFF17C"/>
    <w:rsid w:val="D63F21DA"/>
    <w:rsid w:val="D77B71F5"/>
    <w:rsid w:val="D7CFFA79"/>
    <w:rsid w:val="D7D7135B"/>
    <w:rsid w:val="D7DF7962"/>
    <w:rsid w:val="D89C9B09"/>
    <w:rsid w:val="D97B2FEB"/>
    <w:rsid w:val="DABEB69D"/>
    <w:rsid w:val="DB7FFE66"/>
    <w:rsid w:val="DBC7A58E"/>
    <w:rsid w:val="DBEC0CF7"/>
    <w:rsid w:val="DCC7334A"/>
    <w:rsid w:val="DD3FAA50"/>
    <w:rsid w:val="DD7951B9"/>
    <w:rsid w:val="DDAEFF26"/>
    <w:rsid w:val="DDCA1487"/>
    <w:rsid w:val="DDD96AE5"/>
    <w:rsid w:val="DDFC914A"/>
    <w:rsid w:val="DEBCB230"/>
    <w:rsid w:val="DEDF1913"/>
    <w:rsid w:val="DEF9C72C"/>
    <w:rsid w:val="DEFD335F"/>
    <w:rsid w:val="DEFF60CD"/>
    <w:rsid w:val="DEFF6D34"/>
    <w:rsid w:val="DF2EC56C"/>
    <w:rsid w:val="DF5AD153"/>
    <w:rsid w:val="DF7B372F"/>
    <w:rsid w:val="DF7F2427"/>
    <w:rsid w:val="DFB93DCD"/>
    <w:rsid w:val="DFBEB1E0"/>
    <w:rsid w:val="DFC696DC"/>
    <w:rsid w:val="DFCB1B5B"/>
    <w:rsid w:val="DFCF1848"/>
    <w:rsid w:val="DFEF553C"/>
    <w:rsid w:val="DFFB9767"/>
    <w:rsid w:val="DFFF71F5"/>
    <w:rsid w:val="E6EE0C9E"/>
    <w:rsid w:val="E73B0F54"/>
    <w:rsid w:val="E7DB7A1F"/>
    <w:rsid w:val="E7DEAA88"/>
    <w:rsid w:val="E9FFAE44"/>
    <w:rsid w:val="EAFD0A29"/>
    <w:rsid w:val="EAFE33DB"/>
    <w:rsid w:val="EBBDEF59"/>
    <w:rsid w:val="EBDF8DAE"/>
    <w:rsid w:val="EBED0B22"/>
    <w:rsid w:val="EBED3AC2"/>
    <w:rsid w:val="EBFB0DFA"/>
    <w:rsid w:val="EC7DEF4B"/>
    <w:rsid w:val="ED3FAD94"/>
    <w:rsid w:val="ED7BD1B8"/>
    <w:rsid w:val="ED7F50BB"/>
    <w:rsid w:val="ED9F6700"/>
    <w:rsid w:val="EDEE63AE"/>
    <w:rsid w:val="EDFD8DC9"/>
    <w:rsid w:val="EEAFC5B1"/>
    <w:rsid w:val="EED1BE83"/>
    <w:rsid w:val="EEF7A0EF"/>
    <w:rsid w:val="EEFD1437"/>
    <w:rsid w:val="EF6DAB2E"/>
    <w:rsid w:val="EF7338D0"/>
    <w:rsid w:val="EF75EFF9"/>
    <w:rsid w:val="EF8567C4"/>
    <w:rsid w:val="EFB678E4"/>
    <w:rsid w:val="EFBA2AFB"/>
    <w:rsid w:val="EFBBCFF1"/>
    <w:rsid w:val="EFBEAECB"/>
    <w:rsid w:val="EFCBB900"/>
    <w:rsid w:val="EFEB3653"/>
    <w:rsid w:val="EFFE1380"/>
    <w:rsid w:val="EFFF18F1"/>
    <w:rsid w:val="EFFF48E1"/>
    <w:rsid w:val="F2D9D283"/>
    <w:rsid w:val="F3B3B128"/>
    <w:rsid w:val="F3F37917"/>
    <w:rsid w:val="F3FD95C3"/>
    <w:rsid w:val="F3FF30A4"/>
    <w:rsid w:val="F49EC0E3"/>
    <w:rsid w:val="F4EECF09"/>
    <w:rsid w:val="F5B5EF80"/>
    <w:rsid w:val="F5DD75BF"/>
    <w:rsid w:val="F6A75C65"/>
    <w:rsid w:val="F6B38ECA"/>
    <w:rsid w:val="F6DDBF8E"/>
    <w:rsid w:val="F6F73661"/>
    <w:rsid w:val="F6FE8DEB"/>
    <w:rsid w:val="F745DC72"/>
    <w:rsid w:val="F77F494F"/>
    <w:rsid w:val="F789F7D8"/>
    <w:rsid w:val="F7A76774"/>
    <w:rsid w:val="F7A79C52"/>
    <w:rsid w:val="F7BF0E37"/>
    <w:rsid w:val="F7DE89E9"/>
    <w:rsid w:val="F7FDBA16"/>
    <w:rsid w:val="F84FE004"/>
    <w:rsid w:val="F95F980B"/>
    <w:rsid w:val="F99708BF"/>
    <w:rsid w:val="F9FAD6D3"/>
    <w:rsid w:val="F9FF2B73"/>
    <w:rsid w:val="FAAD2057"/>
    <w:rsid w:val="FACCC34D"/>
    <w:rsid w:val="FADF86DB"/>
    <w:rsid w:val="FAEF0F41"/>
    <w:rsid w:val="FAF7A9A2"/>
    <w:rsid w:val="FAFF42CB"/>
    <w:rsid w:val="FB7C5ECD"/>
    <w:rsid w:val="FBADE009"/>
    <w:rsid w:val="FBBF68C4"/>
    <w:rsid w:val="FBC7BE28"/>
    <w:rsid w:val="FBD7A01E"/>
    <w:rsid w:val="FBDF84C4"/>
    <w:rsid w:val="FBF5D24F"/>
    <w:rsid w:val="FBFB8834"/>
    <w:rsid w:val="FBFF4897"/>
    <w:rsid w:val="FBFF6BE1"/>
    <w:rsid w:val="FC6C1807"/>
    <w:rsid w:val="FC7B2B4B"/>
    <w:rsid w:val="FCDFC65E"/>
    <w:rsid w:val="FCFA46C4"/>
    <w:rsid w:val="FD1FBF9A"/>
    <w:rsid w:val="FD66B61D"/>
    <w:rsid w:val="FD9FAA15"/>
    <w:rsid w:val="FDD36328"/>
    <w:rsid w:val="FDDAFB64"/>
    <w:rsid w:val="FDF5D400"/>
    <w:rsid w:val="FDFB65DD"/>
    <w:rsid w:val="FDFF420C"/>
    <w:rsid w:val="FE7F096C"/>
    <w:rsid w:val="FEB9FBEB"/>
    <w:rsid w:val="FEC7CC60"/>
    <w:rsid w:val="FED38DF0"/>
    <w:rsid w:val="FEDFF3A6"/>
    <w:rsid w:val="FEEFCA03"/>
    <w:rsid w:val="FEF258C6"/>
    <w:rsid w:val="FEF2B992"/>
    <w:rsid w:val="FEFDBE4B"/>
    <w:rsid w:val="FEFF6BB7"/>
    <w:rsid w:val="FEFFC06B"/>
    <w:rsid w:val="FF19FA92"/>
    <w:rsid w:val="FF5F5AB1"/>
    <w:rsid w:val="FF6BD023"/>
    <w:rsid w:val="FF746FFD"/>
    <w:rsid w:val="FF772AB0"/>
    <w:rsid w:val="FF7A2EF9"/>
    <w:rsid w:val="FF7CE303"/>
    <w:rsid w:val="FF7FCC27"/>
    <w:rsid w:val="FF99D1F7"/>
    <w:rsid w:val="FF9B7225"/>
    <w:rsid w:val="FF9CEE68"/>
    <w:rsid w:val="FFAE6697"/>
    <w:rsid w:val="FFB4952D"/>
    <w:rsid w:val="FFB5666A"/>
    <w:rsid w:val="FFBFF6B7"/>
    <w:rsid w:val="FFCF1A3D"/>
    <w:rsid w:val="FFD51117"/>
    <w:rsid w:val="FFDACFB6"/>
    <w:rsid w:val="FFDB90B4"/>
    <w:rsid w:val="FFDD2B63"/>
    <w:rsid w:val="FFDF08BC"/>
    <w:rsid w:val="FFDF1688"/>
    <w:rsid w:val="FFDF647F"/>
    <w:rsid w:val="FFDF9180"/>
    <w:rsid w:val="FFEB4626"/>
    <w:rsid w:val="FFEF423A"/>
    <w:rsid w:val="FFEF502B"/>
    <w:rsid w:val="FFEFBFD7"/>
    <w:rsid w:val="FFF7F822"/>
    <w:rsid w:val="FFFB1915"/>
    <w:rsid w:val="FFFB938C"/>
    <w:rsid w:val="FFFBA45B"/>
    <w:rsid w:val="FFFDA288"/>
    <w:rsid w:val="FFFDE736"/>
    <w:rsid w:val="FFFEFD3B"/>
    <w:rsid w:val="FFFF1C2E"/>
    <w:rsid w:val="FFFF35A4"/>
    <w:rsid w:val="FFFF9278"/>
    <w:rsid w:val="FFFF9504"/>
    <w:rsid w:val="FFFF9D35"/>
    <w:rsid w:val="FFFFD541"/>
    <w:rsid w:val="00021A8F"/>
    <w:rsid w:val="0002633E"/>
    <w:rsid w:val="000353A1"/>
    <w:rsid w:val="00084B00"/>
    <w:rsid w:val="000B2C2E"/>
    <w:rsid w:val="000C078F"/>
    <w:rsid w:val="000D6464"/>
    <w:rsid w:val="000E38E0"/>
    <w:rsid w:val="00151C34"/>
    <w:rsid w:val="001B5D63"/>
    <w:rsid w:val="001F1EC7"/>
    <w:rsid w:val="0020424A"/>
    <w:rsid w:val="002330B4"/>
    <w:rsid w:val="00252849"/>
    <w:rsid w:val="00275862"/>
    <w:rsid w:val="00285513"/>
    <w:rsid w:val="002C05A6"/>
    <w:rsid w:val="002E259C"/>
    <w:rsid w:val="002F1A8C"/>
    <w:rsid w:val="00346665"/>
    <w:rsid w:val="003513C4"/>
    <w:rsid w:val="00362A6D"/>
    <w:rsid w:val="00376AF9"/>
    <w:rsid w:val="003C154B"/>
    <w:rsid w:val="004003C6"/>
    <w:rsid w:val="0042336D"/>
    <w:rsid w:val="00496C02"/>
    <w:rsid w:val="004B284F"/>
    <w:rsid w:val="004C397B"/>
    <w:rsid w:val="004D75DD"/>
    <w:rsid w:val="004F5CB6"/>
    <w:rsid w:val="005402B0"/>
    <w:rsid w:val="00541232"/>
    <w:rsid w:val="0055232F"/>
    <w:rsid w:val="005B78AF"/>
    <w:rsid w:val="005C1907"/>
    <w:rsid w:val="005D0CC0"/>
    <w:rsid w:val="005D3E88"/>
    <w:rsid w:val="005D6901"/>
    <w:rsid w:val="005E0F0E"/>
    <w:rsid w:val="005E439B"/>
    <w:rsid w:val="005F2573"/>
    <w:rsid w:val="00621338"/>
    <w:rsid w:val="00656881"/>
    <w:rsid w:val="0066697F"/>
    <w:rsid w:val="00674668"/>
    <w:rsid w:val="006A75E7"/>
    <w:rsid w:val="006B11DB"/>
    <w:rsid w:val="006B74E3"/>
    <w:rsid w:val="00706AED"/>
    <w:rsid w:val="00722B28"/>
    <w:rsid w:val="00725DA5"/>
    <w:rsid w:val="00742D53"/>
    <w:rsid w:val="007800EB"/>
    <w:rsid w:val="00795C91"/>
    <w:rsid w:val="007A2333"/>
    <w:rsid w:val="007D4235"/>
    <w:rsid w:val="00816ADD"/>
    <w:rsid w:val="00872C23"/>
    <w:rsid w:val="008D265F"/>
    <w:rsid w:val="008E0E3F"/>
    <w:rsid w:val="0092452A"/>
    <w:rsid w:val="00924F15"/>
    <w:rsid w:val="009269A2"/>
    <w:rsid w:val="00953FBC"/>
    <w:rsid w:val="0095493F"/>
    <w:rsid w:val="0097404D"/>
    <w:rsid w:val="009A7241"/>
    <w:rsid w:val="009D75E9"/>
    <w:rsid w:val="009F639E"/>
    <w:rsid w:val="00A00933"/>
    <w:rsid w:val="00A02357"/>
    <w:rsid w:val="00A762B2"/>
    <w:rsid w:val="00AC0286"/>
    <w:rsid w:val="00AE3B7D"/>
    <w:rsid w:val="00AE3EA5"/>
    <w:rsid w:val="00B16559"/>
    <w:rsid w:val="00B25931"/>
    <w:rsid w:val="00B45163"/>
    <w:rsid w:val="00B52609"/>
    <w:rsid w:val="00BF0B0E"/>
    <w:rsid w:val="00BF0E1D"/>
    <w:rsid w:val="00C04FEE"/>
    <w:rsid w:val="00C57E88"/>
    <w:rsid w:val="00CD1654"/>
    <w:rsid w:val="00D05FF2"/>
    <w:rsid w:val="00D56376"/>
    <w:rsid w:val="00D570B6"/>
    <w:rsid w:val="00D63E29"/>
    <w:rsid w:val="00D67590"/>
    <w:rsid w:val="00D75C93"/>
    <w:rsid w:val="00D77CAD"/>
    <w:rsid w:val="00D85917"/>
    <w:rsid w:val="00D97859"/>
    <w:rsid w:val="00DC74EB"/>
    <w:rsid w:val="00DE5491"/>
    <w:rsid w:val="00E27E8C"/>
    <w:rsid w:val="00E4124D"/>
    <w:rsid w:val="00E45515"/>
    <w:rsid w:val="00EE3E21"/>
    <w:rsid w:val="00F10A9F"/>
    <w:rsid w:val="00F251C1"/>
    <w:rsid w:val="00F84013"/>
    <w:rsid w:val="00F9223B"/>
    <w:rsid w:val="00FA3E71"/>
    <w:rsid w:val="00FC62C8"/>
    <w:rsid w:val="01451893"/>
    <w:rsid w:val="018207C5"/>
    <w:rsid w:val="0198414F"/>
    <w:rsid w:val="019E3125"/>
    <w:rsid w:val="01A93FA3"/>
    <w:rsid w:val="01AD0BF3"/>
    <w:rsid w:val="01AE4130"/>
    <w:rsid w:val="01D8245E"/>
    <w:rsid w:val="01F229F6"/>
    <w:rsid w:val="02145D7E"/>
    <w:rsid w:val="02593E58"/>
    <w:rsid w:val="02691984"/>
    <w:rsid w:val="02704AC1"/>
    <w:rsid w:val="027553D3"/>
    <w:rsid w:val="02820350"/>
    <w:rsid w:val="028A47A1"/>
    <w:rsid w:val="029A38EC"/>
    <w:rsid w:val="02B250DA"/>
    <w:rsid w:val="03055843"/>
    <w:rsid w:val="031C07A5"/>
    <w:rsid w:val="03716D43"/>
    <w:rsid w:val="037771AB"/>
    <w:rsid w:val="03DF7729"/>
    <w:rsid w:val="03EA6727"/>
    <w:rsid w:val="042D0C17"/>
    <w:rsid w:val="045329C9"/>
    <w:rsid w:val="045918BE"/>
    <w:rsid w:val="045F63ED"/>
    <w:rsid w:val="046D2F56"/>
    <w:rsid w:val="048440E8"/>
    <w:rsid w:val="0497228C"/>
    <w:rsid w:val="04A72429"/>
    <w:rsid w:val="04DA6989"/>
    <w:rsid w:val="053E0B8B"/>
    <w:rsid w:val="05575AC4"/>
    <w:rsid w:val="0579626A"/>
    <w:rsid w:val="0585028E"/>
    <w:rsid w:val="0589537F"/>
    <w:rsid w:val="058F0F94"/>
    <w:rsid w:val="05986A5B"/>
    <w:rsid w:val="05AC0875"/>
    <w:rsid w:val="05BB42A5"/>
    <w:rsid w:val="05C32884"/>
    <w:rsid w:val="05DF484C"/>
    <w:rsid w:val="05EE467B"/>
    <w:rsid w:val="05F0688E"/>
    <w:rsid w:val="061D274B"/>
    <w:rsid w:val="06285F4E"/>
    <w:rsid w:val="063140EA"/>
    <w:rsid w:val="06A15D80"/>
    <w:rsid w:val="06AA394A"/>
    <w:rsid w:val="06B50F87"/>
    <w:rsid w:val="06BD5DFB"/>
    <w:rsid w:val="06FFBCBE"/>
    <w:rsid w:val="07321FCE"/>
    <w:rsid w:val="07373DFF"/>
    <w:rsid w:val="07436427"/>
    <w:rsid w:val="07682636"/>
    <w:rsid w:val="07932A64"/>
    <w:rsid w:val="07936608"/>
    <w:rsid w:val="07AC00B8"/>
    <w:rsid w:val="07BB3DDB"/>
    <w:rsid w:val="07CD206E"/>
    <w:rsid w:val="07D16222"/>
    <w:rsid w:val="07F25F78"/>
    <w:rsid w:val="081440B7"/>
    <w:rsid w:val="08341530"/>
    <w:rsid w:val="086437C4"/>
    <w:rsid w:val="086739D6"/>
    <w:rsid w:val="086B19E6"/>
    <w:rsid w:val="08713341"/>
    <w:rsid w:val="0878293A"/>
    <w:rsid w:val="08854315"/>
    <w:rsid w:val="08A75B80"/>
    <w:rsid w:val="08AE70A7"/>
    <w:rsid w:val="08CF128B"/>
    <w:rsid w:val="08D8614F"/>
    <w:rsid w:val="08F61727"/>
    <w:rsid w:val="092263E9"/>
    <w:rsid w:val="094D16B8"/>
    <w:rsid w:val="09575772"/>
    <w:rsid w:val="097357ED"/>
    <w:rsid w:val="09B60DA9"/>
    <w:rsid w:val="0A0334A7"/>
    <w:rsid w:val="0A254E46"/>
    <w:rsid w:val="0A2D7AB8"/>
    <w:rsid w:val="0A3B3C06"/>
    <w:rsid w:val="0A5E56BE"/>
    <w:rsid w:val="0A79472F"/>
    <w:rsid w:val="0A8468C0"/>
    <w:rsid w:val="0A98599A"/>
    <w:rsid w:val="0AC6715F"/>
    <w:rsid w:val="0AEB3890"/>
    <w:rsid w:val="0B0523A4"/>
    <w:rsid w:val="0B0D2D61"/>
    <w:rsid w:val="0B1A3187"/>
    <w:rsid w:val="0B1E4B06"/>
    <w:rsid w:val="0B3679C7"/>
    <w:rsid w:val="0B6158EF"/>
    <w:rsid w:val="0B7A63B4"/>
    <w:rsid w:val="0B87260F"/>
    <w:rsid w:val="0BC255F4"/>
    <w:rsid w:val="0BE466ED"/>
    <w:rsid w:val="0BE970E6"/>
    <w:rsid w:val="0BEB1B5A"/>
    <w:rsid w:val="0C2A3FEF"/>
    <w:rsid w:val="0C2A4B36"/>
    <w:rsid w:val="0C546281"/>
    <w:rsid w:val="0C913293"/>
    <w:rsid w:val="0CAC71DD"/>
    <w:rsid w:val="0CC311D9"/>
    <w:rsid w:val="0CD20165"/>
    <w:rsid w:val="0CE45617"/>
    <w:rsid w:val="0D707A68"/>
    <w:rsid w:val="0D780CCE"/>
    <w:rsid w:val="0D7D62E4"/>
    <w:rsid w:val="0D9B352F"/>
    <w:rsid w:val="0DC54864"/>
    <w:rsid w:val="0E100A29"/>
    <w:rsid w:val="0E1A1702"/>
    <w:rsid w:val="0E1B15F2"/>
    <w:rsid w:val="0E252C04"/>
    <w:rsid w:val="0E2A51BA"/>
    <w:rsid w:val="0E2F1F40"/>
    <w:rsid w:val="0E3F3D0D"/>
    <w:rsid w:val="0E42664A"/>
    <w:rsid w:val="0E46071F"/>
    <w:rsid w:val="0E4723B9"/>
    <w:rsid w:val="0E5518F6"/>
    <w:rsid w:val="0E771D61"/>
    <w:rsid w:val="0E8736B0"/>
    <w:rsid w:val="0E92139E"/>
    <w:rsid w:val="0E9B7BB1"/>
    <w:rsid w:val="0EE24E79"/>
    <w:rsid w:val="0EF77AA6"/>
    <w:rsid w:val="0EFE24C8"/>
    <w:rsid w:val="0F3B6457"/>
    <w:rsid w:val="0F5A4B2F"/>
    <w:rsid w:val="0F760F19"/>
    <w:rsid w:val="0F945714"/>
    <w:rsid w:val="0F9933C0"/>
    <w:rsid w:val="0FAA19D6"/>
    <w:rsid w:val="0FB53B66"/>
    <w:rsid w:val="0FCF76BF"/>
    <w:rsid w:val="0FE7251E"/>
    <w:rsid w:val="10070AEF"/>
    <w:rsid w:val="100F603B"/>
    <w:rsid w:val="10B65D95"/>
    <w:rsid w:val="10C65213"/>
    <w:rsid w:val="10D2708E"/>
    <w:rsid w:val="10D506AB"/>
    <w:rsid w:val="114000A4"/>
    <w:rsid w:val="118C24E8"/>
    <w:rsid w:val="11983FAB"/>
    <w:rsid w:val="11EB3D88"/>
    <w:rsid w:val="11F300FC"/>
    <w:rsid w:val="120B2110"/>
    <w:rsid w:val="123329A5"/>
    <w:rsid w:val="126962A2"/>
    <w:rsid w:val="127B2821"/>
    <w:rsid w:val="12892942"/>
    <w:rsid w:val="12D32FC6"/>
    <w:rsid w:val="132769B4"/>
    <w:rsid w:val="1353553E"/>
    <w:rsid w:val="13A24BF1"/>
    <w:rsid w:val="13A42E47"/>
    <w:rsid w:val="13B13FFB"/>
    <w:rsid w:val="13C0117A"/>
    <w:rsid w:val="13C832CA"/>
    <w:rsid w:val="13D86F07"/>
    <w:rsid w:val="13DD014D"/>
    <w:rsid w:val="14224418"/>
    <w:rsid w:val="14437732"/>
    <w:rsid w:val="148F44D2"/>
    <w:rsid w:val="14AA20B4"/>
    <w:rsid w:val="150875D8"/>
    <w:rsid w:val="152178CA"/>
    <w:rsid w:val="152D1E5B"/>
    <w:rsid w:val="155218E1"/>
    <w:rsid w:val="155B515D"/>
    <w:rsid w:val="15605783"/>
    <w:rsid w:val="156B5D02"/>
    <w:rsid w:val="1588335C"/>
    <w:rsid w:val="15A9505D"/>
    <w:rsid w:val="15FC1BBB"/>
    <w:rsid w:val="167C0237"/>
    <w:rsid w:val="16C43002"/>
    <w:rsid w:val="16CD55CB"/>
    <w:rsid w:val="16EC5B22"/>
    <w:rsid w:val="17034535"/>
    <w:rsid w:val="171A6181"/>
    <w:rsid w:val="173B3475"/>
    <w:rsid w:val="17412641"/>
    <w:rsid w:val="174D7FE3"/>
    <w:rsid w:val="176369E4"/>
    <w:rsid w:val="17683B07"/>
    <w:rsid w:val="179752C7"/>
    <w:rsid w:val="179E70E8"/>
    <w:rsid w:val="17A24888"/>
    <w:rsid w:val="17E23913"/>
    <w:rsid w:val="182C0DCC"/>
    <w:rsid w:val="18501EA5"/>
    <w:rsid w:val="18956F52"/>
    <w:rsid w:val="18AA1628"/>
    <w:rsid w:val="18CB759E"/>
    <w:rsid w:val="18F55B08"/>
    <w:rsid w:val="18FF22B4"/>
    <w:rsid w:val="19045B0B"/>
    <w:rsid w:val="19337567"/>
    <w:rsid w:val="193D77A3"/>
    <w:rsid w:val="19490D28"/>
    <w:rsid w:val="195C17F4"/>
    <w:rsid w:val="196D2E5D"/>
    <w:rsid w:val="19873D6C"/>
    <w:rsid w:val="199402BF"/>
    <w:rsid w:val="19AD7F51"/>
    <w:rsid w:val="19B118D0"/>
    <w:rsid w:val="19B337B9"/>
    <w:rsid w:val="19C44D96"/>
    <w:rsid w:val="19F44802"/>
    <w:rsid w:val="19FC78A3"/>
    <w:rsid w:val="1A4C4219"/>
    <w:rsid w:val="1A8727B3"/>
    <w:rsid w:val="1A8908E0"/>
    <w:rsid w:val="1AB04E2D"/>
    <w:rsid w:val="1ABB2559"/>
    <w:rsid w:val="1AC44FF1"/>
    <w:rsid w:val="1ADB61E7"/>
    <w:rsid w:val="1AE82F8A"/>
    <w:rsid w:val="1B0264DC"/>
    <w:rsid w:val="1B5278D9"/>
    <w:rsid w:val="1B9F091F"/>
    <w:rsid w:val="1BAB4F2E"/>
    <w:rsid w:val="1BBEE7EC"/>
    <w:rsid w:val="1C03693C"/>
    <w:rsid w:val="1C1C2A13"/>
    <w:rsid w:val="1C654B13"/>
    <w:rsid w:val="1C870A91"/>
    <w:rsid w:val="1C9C1574"/>
    <w:rsid w:val="1CBE323A"/>
    <w:rsid w:val="1CDA72AF"/>
    <w:rsid w:val="1CF0778C"/>
    <w:rsid w:val="1CF245F9"/>
    <w:rsid w:val="1CF83AC6"/>
    <w:rsid w:val="1D0461A4"/>
    <w:rsid w:val="1D1B4BAE"/>
    <w:rsid w:val="1D2B3667"/>
    <w:rsid w:val="1D370D52"/>
    <w:rsid w:val="1D3954F9"/>
    <w:rsid w:val="1D691FDD"/>
    <w:rsid w:val="1D886900"/>
    <w:rsid w:val="1D9A6A9C"/>
    <w:rsid w:val="1DCD6778"/>
    <w:rsid w:val="1DFFB836"/>
    <w:rsid w:val="1E01744B"/>
    <w:rsid w:val="1E030EE6"/>
    <w:rsid w:val="1E09747B"/>
    <w:rsid w:val="1E6E738C"/>
    <w:rsid w:val="1E717744"/>
    <w:rsid w:val="1E752C04"/>
    <w:rsid w:val="1E8D6CBB"/>
    <w:rsid w:val="1E9210A9"/>
    <w:rsid w:val="1EB63404"/>
    <w:rsid w:val="1EDF3912"/>
    <w:rsid w:val="1EFED6E1"/>
    <w:rsid w:val="1EFFC89C"/>
    <w:rsid w:val="1F2F3DAA"/>
    <w:rsid w:val="1F340C61"/>
    <w:rsid w:val="1F6D7EC9"/>
    <w:rsid w:val="1FAD5C8A"/>
    <w:rsid w:val="1FE50445"/>
    <w:rsid w:val="1FE7F397"/>
    <w:rsid w:val="1FF771A1"/>
    <w:rsid w:val="1FFC2022"/>
    <w:rsid w:val="1FFD2BA7"/>
    <w:rsid w:val="20431B56"/>
    <w:rsid w:val="20647D57"/>
    <w:rsid w:val="20A87FAD"/>
    <w:rsid w:val="20DA573B"/>
    <w:rsid w:val="20FE449A"/>
    <w:rsid w:val="2100305C"/>
    <w:rsid w:val="21226DF8"/>
    <w:rsid w:val="21335D8B"/>
    <w:rsid w:val="213864FF"/>
    <w:rsid w:val="215240CB"/>
    <w:rsid w:val="215A276C"/>
    <w:rsid w:val="21905293"/>
    <w:rsid w:val="21AD6EA0"/>
    <w:rsid w:val="21B44A60"/>
    <w:rsid w:val="222E6FDD"/>
    <w:rsid w:val="2266452A"/>
    <w:rsid w:val="22911B46"/>
    <w:rsid w:val="229866F6"/>
    <w:rsid w:val="22CB1BF7"/>
    <w:rsid w:val="22F0193D"/>
    <w:rsid w:val="22F10596"/>
    <w:rsid w:val="22F23E66"/>
    <w:rsid w:val="22F27E83"/>
    <w:rsid w:val="23135813"/>
    <w:rsid w:val="231951F9"/>
    <w:rsid w:val="235D5341"/>
    <w:rsid w:val="23863CA1"/>
    <w:rsid w:val="23863CED"/>
    <w:rsid w:val="23AE57C5"/>
    <w:rsid w:val="23B55978"/>
    <w:rsid w:val="23EA0F4D"/>
    <w:rsid w:val="23FC4C02"/>
    <w:rsid w:val="2473612D"/>
    <w:rsid w:val="249271CF"/>
    <w:rsid w:val="24A51F50"/>
    <w:rsid w:val="24E73159"/>
    <w:rsid w:val="24E76A0D"/>
    <w:rsid w:val="25167350"/>
    <w:rsid w:val="2527191E"/>
    <w:rsid w:val="25363F01"/>
    <w:rsid w:val="25B846B8"/>
    <w:rsid w:val="25C0051A"/>
    <w:rsid w:val="25C26F77"/>
    <w:rsid w:val="2612274B"/>
    <w:rsid w:val="26151358"/>
    <w:rsid w:val="2652503C"/>
    <w:rsid w:val="26884999"/>
    <w:rsid w:val="26B96187"/>
    <w:rsid w:val="26BC308A"/>
    <w:rsid w:val="26CE35C3"/>
    <w:rsid w:val="26E34FB2"/>
    <w:rsid w:val="27280C17"/>
    <w:rsid w:val="275116C0"/>
    <w:rsid w:val="277E245F"/>
    <w:rsid w:val="27A63C54"/>
    <w:rsid w:val="27C20DFE"/>
    <w:rsid w:val="27E729EA"/>
    <w:rsid w:val="27EB51C0"/>
    <w:rsid w:val="27F26029"/>
    <w:rsid w:val="28120E46"/>
    <w:rsid w:val="282F4953"/>
    <w:rsid w:val="283C54ED"/>
    <w:rsid w:val="284264D6"/>
    <w:rsid w:val="2844755E"/>
    <w:rsid w:val="2862727C"/>
    <w:rsid w:val="289D3E9F"/>
    <w:rsid w:val="28AC3DAD"/>
    <w:rsid w:val="28AD5878"/>
    <w:rsid w:val="28CF7EF9"/>
    <w:rsid w:val="292C2BB8"/>
    <w:rsid w:val="29426DA9"/>
    <w:rsid w:val="298A3E0B"/>
    <w:rsid w:val="29974A4D"/>
    <w:rsid w:val="29A22F02"/>
    <w:rsid w:val="29D601B8"/>
    <w:rsid w:val="29E410BF"/>
    <w:rsid w:val="29E62E11"/>
    <w:rsid w:val="2A0C5A05"/>
    <w:rsid w:val="2A2A3337"/>
    <w:rsid w:val="2A3D1EE2"/>
    <w:rsid w:val="2A487F33"/>
    <w:rsid w:val="2A5266D7"/>
    <w:rsid w:val="2A7376FC"/>
    <w:rsid w:val="2A756A00"/>
    <w:rsid w:val="2ACE12F3"/>
    <w:rsid w:val="2AE71730"/>
    <w:rsid w:val="2B084AD1"/>
    <w:rsid w:val="2B0D68E9"/>
    <w:rsid w:val="2B165B4A"/>
    <w:rsid w:val="2B472317"/>
    <w:rsid w:val="2B481530"/>
    <w:rsid w:val="2B49329B"/>
    <w:rsid w:val="2B4E4AFC"/>
    <w:rsid w:val="2B536728"/>
    <w:rsid w:val="2BA61037"/>
    <w:rsid w:val="2BB03688"/>
    <w:rsid w:val="2BDB636C"/>
    <w:rsid w:val="2BFD78DC"/>
    <w:rsid w:val="2C611B0D"/>
    <w:rsid w:val="2C8F6197"/>
    <w:rsid w:val="2C9111D4"/>
    <w:rsid w:val="2CBA156A"/>
    <w:rsid w:val="2CBFB6A2"/>
    <w:rsid w:val="2D1D6ED9"/>
    <w:rsid w:val="2D346567"/>
    <w:rsid w:val="2D4E51DC"/>
    <w:rsid w:val="2D571169"/>
    <w:rsid w:val="2D8A22D4"/>
    <w:rsid w:val="2DAC7B67"/>
    <w:rsid w:val="2E24211B"/>
    <w:rsid w:val="2E744396"/>
    <w:rsid w:val="2E7B52EF"/>
    <w:rsid w:val="2EA8025A"/>
    <w:rsid w:val="2EE10DEA"/>
    <w:rsid w:val="2F06718B"/>
    <w:rsid w:val="2F1C6CC7"/>
    <w:rsid w:val="2F1E0F22"/>
    <w:rsid w:val="2F206DD1"/>
    <w:rsid w:val="2F5E194F"/>
    <w:rsid w:val="2F6E0139"/>
    <w:rsid w:val="2F6F4654"/>
    <w:rsid w:val="2F713DD7"/>
    <w:rsid w:val="2F995BF7"/>
    <w:rsid w:val="2F9D6A8A"/>
    <w:rsid w:val="2FA70B97"/>
    <w:rsid w:val="2FAA709C"/>
    <w:rsid w:val="2FAD520D"/>
    <w:rsid w:val="2FB16A3F"/>
    <w:rsid w:val="2FB207D4"/>
    <w:rsid w:val="2FE772D8"/>
    <w:rsid w:val="2FEB2317"/>
    <w:rsid w:val="30752283"/>
    <w:rsid w:val="30942F58"/>
    <w:rsid w:val="30BE7410"/>
    <w:rsid w:val="30F745BA"/>
    <w:rsid w:val="30F81DE5"/>
    <w:rsid w:val="312F5F48"/>
    <w:rsid w:val="31405F30"/>
    <w:rsid w:val="31434B00"/>
    <w:rsid w:val="314C0546"/>
    <w:rsid w:val="3159659D"/>
    <w:rsid w:val="3172765E"/>
    <w:rsid w:val="31795745"/>
    <w:rsid w:val="31893EE4"/>
    <w:rsid w:val="31E556B1"/>
    <w:rsid w:val="31FD140C"/>
    <w:rsid w:val="32223D4C"/>
    <w:rsid w:val="32472899"/>
    <w:rsid w:val="3248469A"/>
    <w:rsid w:val="324D06A0"/>
    <w:rsid w:val="325A381A"/>
    <w:rsid w:val="326A2A2B"/>
    <w:rsid w:val="32CC7242"/>
    <w:rsid w:val="32F30EB5"/>
    <w:rsid w:val="32F779A2"/>
    <w:rsid w:val="333CECEB"/>
    <w:rsid w:val="3356575D"/>
    <w:rsid w:val="336EF973"/>
    <w:rsid w:val="33923FE8"/>
    <w:rsid w:val="33BB719D"/>
    <w:rsid w:val="33C13344"/>
    <w:rsid w:val="33CD0913"/>
    <w:rsid w:val="33CD3AAE"/>
    <w:rsid w:val="33D57E86"/>
    <w:rsid w:val="33EF31E8"/>
    <w:rsid w:val="341D5759"/>
    <w:rsid w:val="34366763"/>
    <w:rsid w:val="3447303F"/>
    <w:rsid w:val="346047F1"/>
    <w:rsid w:val="346347AE"/>
    <w:rsid w:val="346A28BB"/>
    <w:rsid w:val="34B3611D"/>
    <w:rsid w:val="34E72C04"/>
    <w:rsid w:val="350157B8"/>
    <w:rsid w:val="352C6A51"/>
    <w:rsid w:val="353F2826"/>
    <w:rsid w:val="355854E1"/>
    <w:rsid w:val="356346ED"/>
    <w:rsid w:val="356B46EC"/>
    <w:rsid w:val="358F66B4"/>
    <w:rsid w:val="35A42501"/>
    <w:rsid w:val="35C0308E"/>
    <w:rsid w:val="35E85B44"/>
    <w:rsid w:val="35F96685"/>
    <w:rsid w:val="36176A26"/>
    <w:rsid w:val="362C28BF"/>
    <w:rsid w:val="362F1FC2"/>
    <w:rsid w:val="364516A7"/>
    <w:rsid w:val="369167D9"/>
    <w:rsid w:val="369A6D24"/>
    <w:rsid w:val="36FF6C13"/>
    <w:rsid w:val="36FFC557"/>
    <w:rsid w:val="373B04F2"/>
    <w:rsid w:val="373F1A1E"/>
    <w:rsid w:val="374101FF"/>
    <w:rsid w:val="374E0226"/>
    <w:rsid w:val="37696946"/>
    <w:rsid w:val="37715FE7"/>
    <w:rsid w:val="377FA5CF"/>
    <w:rsid w:val="37A8202C"/>
    <w:rsid w:val="37BD1D6C"/>
    <w:rsid w:val="37E94503"/>
    <w:rsid w:val="37EF620C"/>
    <w:rsid w:val="37F77512"/>
    <w:rsid w:val="382D2492"/>
    <w:rsid w:val="38381129"/>
    <w:rsid w:val="38395CB6"/>
    <w:rsid w:val="383F08C7"/>
    <w:rsid w:val="38542AE7"/>
    <w:rsid w:val="386F2B4A"/>
    <w:rsid w:val="387B14EE"/>
    <w:rsid w:val="388529F3"/>
    <w:rsid w:val="388F293F"/>
    <w:rsid w:val="38DE5CA5"/>
    <w:rsid w:val="38E0240E"/>
    <w:rsid w:val="39033292"/>
    <w:rsid w:val="391D4653"/>
    <w:rsid w:val="393F2CC8"/>
    <w:rsid w:val="3972213A"/>
    <w:rsid w:val="397D755C"/>
    <w:rsid w:val="39970FDF"/>
    <w:rsid w:val="39BA54EC"/>
    <w:rsid w:val="39C4C527"/>
    <w:rsid w:val="39CF3875"/>
    <w:rsid w:val="39D634D5"/>
    <w:rsid w:val="39FA3347"/>
    <w:rsid w:val="3A12378C"/>
    <w:rsid w:val="3A1F2E38"/>
    <w:rsid w:val="3A4934F6"/>
    <w:rsid w:val="3A4D5EB7"/>
    <w:rsid w:val="3A555279"/>
    <w:rsid w:val="3A610852"/>
    <w:rsid w:val="3A7102D2"/>
    <w:rsid w:val="3A885587"/>
    <w:rsid w:val="3A887EF3"/>
    <w:rsid w:val="3AA1573A"/>
    <w:rsid w:val="3AC058DE"/>
    <w:rsid w:val="3ACC4283"/>
    <w:rsid w:val="3ADB429B"/>
    <w:rsid w:val="3AE50EA1"/>
    <w:rsid w:val="3AEC49C0"/>
    <w:rsid w:val="3B176ADD"/>
    <w:rsid w:val="3B283FEC"/>
    <w:rsid w:val="3B31B42A"/>
    <w:rsid w:val="3B333962"/>
    <w:rsid w:val="3B769953"/>
    <w:rsid w:val="3B8FB2E5"/>
    <w:rsid w:val="3B934BBE"/>
    <w:rsid w:val="3B942496"/>
    <w:rsid w:val="3BED44B1"/>
    <w:rsid w:val="3BFA4E20"/>
    <w:rsid w:val="3C071503"/>
    <w:rsid w:val="3C0A37FF"/>
    <w:rsid w:val="3C462C7D"/>
    <w:rsid w:val="3C4E7B69"/>
    <w:rsid w:val="3C5840D2"/>
    <w:rsid w:val="3C7972B9"/>
    <w:rsid w:val="3CBF0C9C"/>
    <w:rsid w:val="3CCA1272"/>
    <w:rsid w:val="3CD87BA0"/>
    <w:rsid w:val="3CD91C65"/>
    <w:rsid w:val="3CDE9676"/>
    <w:rsid w:val="3D2C0C05"/>
    <w:rsid w:val="3D412BB2"/>
    <w:rsid w:val="3D60593D"/>
    <w:rsid w:val="3D8145AD"/>
    <w:rsid w:val="3D98669F"/>
    <w:rsid w:val="3DA53C7B"/>
    <w:rsid w:val="3DBD9B73"/>
    <w:rsid w:val="3DE75B9C"/>
    <w:rsid w:val="3DEF1657"/>
    <w:rsid w:val="3E66054B"/>
    <w:rsid w:val="3E8942A4"/>
    <w:rsid w:val="3E9A727C"/>
    <w:rsid w:val="3E9F73B3"/>
    <w:rsid w:val="3EAB41B0"/>
    <w:rsid w:val="3EE85404"/>
    <w:rsid w:val="3EEF3265"/>
    <w:rsid w:val="3EEF5883"/>
    <w:rsid w:val="3EF002B5"/>
    <w:rsid w:val="3EFAA214"/>
    <w:rsid w:val="3EFE8387"/>
    <w:rsid w:val="3F065125"/>
    <w:rsid w:val="3F367F1D"/>
    <w:rsid w:val="3F76656C"/>
    <w:rsid w:val="3F7779B5"/>
    <w:rsid w:val="3F7A4486"/>
    <w:rsid w:val="3F975C22"/>
    <w:rsid w:val="3F9D6C49"/>
    <w:rsid w:val="3F9EC42E"/>
    <w:rsid w:val="3FCB6485"/>
    <w:rsid w:val="3FCF3D75"/>
    <w:rsid w:val="3FCF4737"/>
    <w:rsid w:val="3FE03704"/>
    <w:rsid w:val="3FED5BE8"/>
    <w:rsid w:val="3FFD6DA3"/>
    <w:rsid w:val="3FFF28A7"/>
    <w:rsid w:val="401B2508"/>
    <w:rsid w:val="40282C80"/>
    <w:rsid w:val="40460634"/>
    <w:rsid w:val="404B3E9C"/>
    <w:rsid w:val="4053203E"/>
    <w:rsid w:val="40884B6A"/>
    <w:rsid w:val="408B166D"/>
    <w:rsid w:val="4093763E"/>
    <w:rsid w:val="40A012B4"/>
    <w:rsid w:val="40C26A08"/>
    <w:rsid w:val="40EE51AC"/>
    <w:rsid w:val="411B768C"/>
    <w:rsid w:val="4140047A"/>
    <w:rsid w:val="41487B1C"/>
    <w:rsid w:val="41576C3D"/>
    <w:rsid w:val="4168282C"/>
    <w:rsid w:val="4185742D"/>
    <w:rsid w:val="418665B0"/>
    <w:rsid w:val="41B73D46"/>
    <w:rsid w:val="41BF690A"/>
    <w:rsid w:val="41F20566"/>
    <w:rsid w:val="41FA088F"/>
    <w:rsid w:val="4203281F"/>
    <w:rsid w:val="427228CD"/>
    <w:rsid w:val="428B12D8"/>
    <w:rsid w:val="429252A3"/>
    <w:rsid w:val="42D948AF"/>
    <w:rsid w:val="42F0001A"/>
    <w:rsid w:val="42FE2D71"/>
    <w:rsid w:val="432B3F87"/>
    <w:rsid w:val="433137CA"/>
    <w:rsid w:val="43370708"/>
    <w:rsid w:val="437454B8"/>
    <w:rsid w:val="43AF0AAC"/>
    <w:rsid w:val="43C60888"/>
    <w:rsid w:val="43CB37AD"/>
    <w:rsid w:val="43FF60C3"/>
    <w:rsid w:val="44075192"/>
    <w:rsid w:val="44102D06"/>
    <w:rsid w:val="4450382F"/>
    <w:rsid w:val="445E3661"/>
    <w:rsid w:val="4471512D"/>
    <w:rsid w:val="44F03C1F"/>
    <w:rsid w:val="454C6149"/>
    <w:rsid w:val="457455A6"/>
    <w:rsid w:val="458D3152"/>
    <w:rsid w:val="458D7CBB"/>
    <w:rsid w:val="45A01175"/>
    <w:rsid w:val="45A806E7"/>
    <w:rsid w:val="45A81449"/>
    <w:rsid w:val="45BD36B1"/>
    <w:rsid w:val="45C25183"/>
    <w:rsid w:val="45D068ED"/>
    <w:rsid w:val="45EC44E2"/>
    <w:rsid w:val="45ED64B4"/>
    <w:rsid w:val="461379D8"/>
    <w:rsid w:val="46685A1E"/>
    <w:rsid w:val="46A365CE"/>
    <w:rsid w:val="46C275D8"/>
    <w:rsid w:val="46DE0863"/>
    <w:rsid w:val="46F21630"/>
    <w:rsid w:val="46FF5655"/>
    <w:rsid w:val="470302FB"/>
    <w:rsid w:val="470628CB"/>
    <w:rsid w:val="471A6376"/>
    <w:rsid w:val="47BDF60E"/>
    <w:rsid w:val="47BF2A96"/>
    <w:rsid w:val="47C10ECA"/>
    <w:rsid w:val="47ED75E7"/>
    <w:rsid w:val="47F60713"/>
    <w:rsid w:val="47FD4599"/>
    <w:rsid w:val="48346CDE"/>
    <w:rsid w:val="48414E35"/>
    <w:rsid w:val="48492EC7"/>
    <w:rsid w:val="484B111B"/>
    <w:rsid w:val="487E2CDC"/>
    <w:rsid w:val="48D607B4"/>
    <w:rsid w:val="48E6254B"/>
    <w:rsid w:val="491004AC"/>
    <w:rsid w:val="4916491B"/>
    <w:rsid w:val="491737F8"/>
    <w:rsid w:val="4924528A"/>
    <w:rsid w:val="49580B27"/>
    <w:rsid w:val="497B0692"/>
    <w:rsid w:val="49956AC7"/>
    <w:rsid w:val="499D7E0E"/>
    <w:rsid w:val="49BF033A"/>
    <w:rsid w:val="49BF6B71"/>
    <w:rsid w:val="49F17862"/>
    <w:rsid w:val="49F904C5"/>
    <w:rsid w:val="4A534838"/>
    <w:rsid w:val="4A750C75"/>
    <w:rsid w:val="4A8425E9"/>
    <w:rsid w:val="4A9B05A9"/>
    <w:rsid w:val="4AA70B3F"/>
    <w:rsid w:val="4ABF424C"/>
    <w:rsid w:val="4AFC64BF"/>
    <w:rsid w:val="4BD02439"/>
    <w:rsid w:val="4BDB1C99"/>
    <w:rsid w:val="4C7118BE"/>
    <w:rsid w:val="4CA303F1"/>
    <w:rsid w:val="4CC01369"/>
    <w:rsid w:val="4CCC0113"/>
    <w:rsid w:val="4CD52279"/>
    <w:rsid w:val="4CDB19B8"/>
    <w:rsid w:val="4CF433A8"/>
    <w:rsid w:val="4D02317C"/>
    <w:rsid w:val="4D097F5A"/>
    <w:rsid w:val="4D7C474E"/>
    <w:rsid w:val="4DB26F1F"/>
    <w:rsid w:val="4E165209"/>
    <w:rsid w:val="4E9B7224"/>
    <w:rsid w:val="4EB66268"/>
    <w:rsid w:val="4EBF1442"/>
    <w:rsid w:val="4ECF5C98"/>
    <w:rsid w:val="4ED37B7D"/>
    <w:rsid w:val="4ED5007C"/>
    <w:rsid w:val="4EFE032C"/>
    <w:rsid w:val="4F0516BA"/>
    <w:rsid w:val="4F147B4F"/>
    <w:rsid w:val="4F187772"/>
    <w:rsid w:val="4F5D43C7"/>
    <w:rsid w:val="4F626B34"/>
    <w:rsid w:val="4F88707B"/>
    <w:rsid w:val="4F9854C4"/>
    <w:rsid w:val="4F9C3EEF"/>
    <w:rsid w:val="4FBE1936"/>
    <w:rsid w:val="4FDE77D3"/>
    <w:rsid w:val="4FF86C78"/>
    <w:rsid w:val="500A28C8"/>
    <w:rsid w:val="500F2B2B"/>
    <w:rsid w:val="502278B4"/>
    <w:rsid w:val="50355A76"/>
    <w:rsid w:val="503F6361"/>
    <w:rsid w:val="50586B5C"/>
    <w:rsid w:val="506B234D"/>
    <w:rsid w:val="509D1B75"/>
    <w:rsid w:val="50B773F5"/>
    <w:rsid w:val="50C77BB8"/>
    <w:rsid w:val="50CA2903"/>
    <w:rsid w:val="50EE52D5"/>
    <w:rsid w:val="50F70D73"/>
    <w:rsid w:val="50FB0FC7"/>
    <w:rsid w:val="510A2FB8"/>
    <w:rsid w:val="512F0C70"/>
    <w:rsid w:val="515C781B"/>
    <w:rsid w:val="5161634A"/>
    <w:rsid w:val="5167665C"/>
    <w:rsid w:val="51851EB1"/>
    <w:rsid w:val="51924054"/>
    <w:rsid w:val="51C71BE5"/>
    <w:rsid w:val="51E5151C"/>
    <w:rsid w:val="51E724C2"/>
    <w:rsid w:val="51E7D104"/>
    <w:rsid w:val="51FA302C"/>
    <w:rsid w:val="520E6AD8"/>
    <w:rsid w:val="52376C6E"/>
    <w:rsid w:val="5251037B"/>
    <w:rsid w:val="527728CF"/>
    <w:rsid w:val="528C202B"/>
    <w:rsid w:val="529E7E5B"/>
    <w:rsid w:val="52B47F71"/>
    <w:rsid w:val="53234805"/>
    <w:rsid w:val="5334431C"/>
    <w:rsid w:val="539B6578"/>
    <w:rsid w:val="53CE4ED0"/>
    <w:rsid w:val="53F5597E"/>
    <w:rsid w:val="53FD2D0D"/>
    <w:rsid w:val="54B41BB8"/>
    <w:rsid w:val="550B178E"/>
    <w:rsid w:val="551C775D"/>
    <w:rsid w:val="551F16E9"/>
    <w:rsid w:val="55247991"/>
    <w:rsid w:val="552511DE"/>
    <w:rsid w:val="5562289D"/>
    <w:rsid w:val="557C3E0B"/>
    <w:rsid w:val="55DC6D24"/>
    <w:rsid w:val="55E33619"/>
    <w:rsid w:val="55F36710"/>
    <w:rsid w:val="55F967F4"/>
    <w:rsid w:val="55FB306C"/>
    <w:rsid w:val="560079AE"/>
    <w:rsid w:val="56064695"/>
    <w:rsid w:val="5609445F"/>
    <w:rsid w:val="560B1CAC"/>
    <w:rsid w:val="56262642"/>
    <w:rsid w:val="56672AAB"/>
    <w:rsid w:val="568E6A0E"/>
    <w:rsid w:val="57360123"/>
    <w:rsid w:val="573BA0D6"/>
    <w:rsid w:val="574F3E1A"/>
    <w:rsid w:val="57585466"/>
    <w:rsid w:val="575E5E0B"/>
    <w:rsid w:val="57675679"/>
    <w:rsid w:val="57704796"/>
    <w:rsid w:val="577F8B7E"/>
    <w:rsid w:val="578277C2"/>
    <w:rsid w:val="57931260"/>
    <w:rsid w:val="5794184F"/>
    <w:rsid w:val="579FCA27"/>
    <w:rsid w:val="57A37CC2"/>
    <w:rsid w:val="57B32A2A"/>
    <w:rsid w:val="57BFC91A"/>
    <w:rsid w:val="57C321C5"/>
    <w:rsid w:val="57C71202"/>
    <w:rsid w:val="57EB0BF9"/>
    <w:rsid w:val="57F0691A"/>
    <w:rsid w:val="57FC421C"/>
    <w:rsid w:val="57FF75EE"/>
    <w:rsid w:val="58085E8A"/>
    <w:rsid w:val="580A5368"/>
    <w:rsid w:val="580A7B01"/>
    <w:rsid w:val="58314F98"/>
    <w:rsid w:val="58721957"/>
    <w:rsid w:val="58940B5A"/>
    <w:rsid w:val="58C15CEE"/>
    <w:rsid w:val="58C4108F"/>
    <w:rsid w:val="58C805A3"/>
    <w:rsid w:val="58D022EC"/>
    <w:rsid w:val="58D267BC"/>
    <w:rsid w:val="58D773E1"/>
    <w:rsid w:val="58DB6FEC"/>
    <w:rsid w:val="590E560F"/>
    <w:rsid w:val="59155B70"/>
    <w:rsid w:val="59202368"/>
    <w:rsid w:val="595D1282"/>
    <w:rsid w:val="59633632"/>
    <w:rsid w:val="59641EB8"/>
    <w:rsid w:val="59710B6E"/>
    <w:rsid w:val="59750444"/>
    <w:rsid w:val="599D630C"/>
    <w:rsid w:val="59BE33EB"/>
    <w:rsid w:val="59CA6ADD"/>
    <w:rsid w:val="59D53028"/>
    <w:rsid w:val="59F9075B"/>
    <w:rsid w:val="59FB5B93"/>
    <w:rsid w:val="5A0A70D6"/>
    <w:rsid w:val="5A3D29AE"/>
    <w:rsid w:val="5A5E53EF"/>
    <w:rsid w:val="5A601C44"/>
    <w:rsid w:val="5A696FA1"/>
    <w:rsid w:val="5A7469F6"/>
    <w:rsid w:val="5AC751C9"/>
    <w:rsid w:val="5AE15B60"/>
    <w:rsid w:val="5B061004"/>
    <w:rsid w:val="5B082E9B"/>
    <w:rsid w:val="5B6FD833"/>
    <w:rsid w:val="5B78301F"/>
    <w:rsid w:val="5B89660E"/>
    <w:rsid w:val="5BA74018"/>
    <w:rsid w:val="5BC4446A"/>
    <w:rsid w:val="5BD416A0"/>
    <w:rsid w:val="5BD65F11"/>
    <w:rsid w:val="5BDE36FA"/>
    <w:rsid w:val="5BDF9BB2"/>
    <w:rsid w:val="5BF6EEC4"/>
    <w:rsid w:val="5BF704EC"/>
    <w:rsid w:val="5BF722A6"/>
    <w:rsid w:val="5C1D4950"/>
    <w:rsid w:val="5C2C472A"/>
    <w:rsid w:val="5C7559A0"/>
    <w:rsid w:val="5C82699B"/>
    <w:rsid w:val="5C8A1451"/>
    <w:rsid w:val="5CBC4A14"/>
    <w:rsid w:val="5CD54DC2"/>
    <w:rsid w:val="5CE648D9"/>
    <w:rsid w:val="5CF66517"/>
    <w:rsid w:val="5CFF5644"/>
    <w:rsid w:val="5D0D506B"/>
    <w:rsid w:val="5D0F0C69"/>
    <w:rsid w:val="5D4FBEC6"/>
    <w:rsid w:val="5DA77AA6"/>
    <w:rsid w:val="5DC4702E"/>
    <w:rsid w:val="5DD5494D"/>
    <w:rsid w:val="5DE54B90"/>
    <w:rsid w:val="5DEF7389"/>
    <w:rsid w:val="5DF2B176"/>
    <w:rsid w:val="5DF80CA4"/>
    <w:rsid w:val="5DFFEE25"/>
    <w:rsid w:val="5E0B5B32"/>
    <w:rsid w:val="5E37F878"/>
    <w:rsid w:val="5E421FE3"/>
    <w:rsid w:val="5E431104"/>
    <w:rsid w:val="5E497BE0"/>
    <w:rsid w:val="5E6FF594"/>
    <w:rsid w:val="5E9FE6A6"/>
    <w:rsid w:val="5EBC0E27"/>
    <w:rsid w:val="5ED54C05"/>
    <w:rsid w:val="5EDA8D34"/>
    <w:rsid w:val="5EDD4448"/>
    <w:rsid w:val="5EDDC1A0"/>
    <w:rsid w:val="5EE035AA"/>
    <w:rsid w:val="5EE47C6D"/>
    <w:rsid w:val="5EE971C5"/>
    <w:rsid w:val="5F0279C4"/>
    <w:rsid w:val="5F1F9FE7"/>
    <w:rsid w:val="5F5A2A9F"/>
    <w:rsid w:val="5F75661B"/>
    <w:rsid w:val="5F7C7D8D"/>
    <w:rsid w:val="5F8D1984"/>
    <w:rsid w:val="5F97411C"/>
    <w:rsid w:val="5F978E86"/>
    <w:rsid w:val="5FBFDB4B"/>
    <w:rsid w:val="5FD7C825"/>
    <w:rsid w:val="5FF46D36"/>
    <w:rsid w:val="5FF739C1"/>
    <w:rsid w:val="5FF7CC45"/>
    <w:rsid w:val="5FF85603"/>
    <w:rsid w:val="5FFA0389"/>
    <w:rsid w:val="5FFBCC18"/>
    <w:rsid w:val="5FFF6DFB"/>
    <w:rsid w:val="5FFFBF2F"/>
    <w:rsid w:val="6044207E"/>
    <w:rsid w:val="6048786B"/>
    <w:rsid w:val="60665C25"/>
    <w:rsid w:val="60846E92"/>
    <w:rsid w:val="609373C1"/>
    <w:rsid w:val="6111015C"/>
    <w:rsid w:val="61421A3F"/>
    <w:rsid w:val="61526439"/>
    <w:rsid w:val="616A18E2"/>
    <w:rsid w:val="616B54E2"/>
    <w:rsid w:val="619C1A0A"/>
    <w:rsid w:val="61AA4B92"/>
    <w:rsid w:val="61B86C80"/>
    <w:rsid w:val="61D50D03"/>
    <w:rsid w:val="61DD2D08"/>
    <w:rsid w:val="621B3277"/>
    <w:rsid w:val="621E2CF8"/>
    <w:rsid w:val="622F0CD5"/>
    <w:rsid w:val="624061E6"/>
    <w:rsid w:val="62502E0E"/>
    <w:rsid w:val="62A571AE"/>
    <w:rsid w:val="632223E3"/>
    <w:rsid w:val="63334247"/>
    <w:rsid w:val="633A06C5"/>
    <w:rsid w:val="6387531C"/>
    <w:rsid w:val="63911C24"/>
    <w:rsid w:val="63A76565"/>
    <w:rsid w:val="63C46855"/>
    <w:rsid w:val="63EE23FA"/>
    <w:rsid w:val="63F41FD1"/>
    <w:rsid w:val="63FA5D4A"/>
    <w:rsid w:val="63FC3FAA"/>
    <w:rsid w:val="6434727E"/>
    <w:rsid w:val="644A4C43"/>
    <w:rsid w:val="646E0AAD"/>
    <w:rsid w:val="64884B17"/>
    <w:rsid w:val="648869F8"/>
    <w:rsid w:val="64964E36"/>
    <w:rsid w:val="64B92424"/>
    <w:rsid w:val="64F8789F"/>
    <w:rsid w:val="650A75D2"/>
    <w:rsid w:val="651D7306"/>
    <w:rsid w:val="65336B29"/>
    <w:rsid w:val="654718DC"/>
    <w:rsid w:val="65490059"/>
    <w:rsid w:val="654E3654"/>
    <w:rsid w:val="655D3BA6"/>
    <w:rsid w:val="657E0AA8"/>
    <w:rsid w:val="657F7597"/>
    <w:rsid w:val="65A65DFB"/>
    <w:rsid w:val="65B7F979"/>
    <w:rsid w:val="65E021A2"/>
    <w:rsid w:val="65F16064"/>
    <w:rsid w:val="65F60FCB"/>
    <w:rsid w:val="65FF33D3"/>
    <w:rsid w:val="660024B7"/>
    <w:rsid w:val="660A6DA4"/>
    <w:rsid w:val="665D64D8"/>
    <w:rsid w:val="666773C8"/>
    <w:rsid w:val="66810A77"/>
    <w:rsid w:val="66852B41"/>
    <w:rsid w:val="66986BDD"/>
    <w:rsid w:val="66A776F7"/>
    <w:rsid w:val="66AA3910"/>
    <w:rsid w:val="66B87C04"/>
    <w:rsid w:val="66D103A8"/>
    <w:rsid w:val="670F0ED0"/>
    <w:rsid w:val="677C73BD"/>
    <w:rsid w:val="67B7032A"/>
    <w:rsid w:val="67BBD9EE"/>
    <w:rsid w:val="67CC31D2"/>
    <w:rsid w:val="67F72090"/>
    <w:rsid w:val="67FF2CF3"/>
    <w:rsid w:val="681C1AF7"/>
    <w:rsid w:val="68263A4A"/>
    <w:rsid w:val="683573CA"/>
    <w:rsid w:val="68424519"/>
    <w:rsid w:val="685B07B3"/>
    <w:rsid w:val="6885769C"/>
    <w:rsid w:val="688A5CBE"/>
    <w:rsid w:val="68910926"/>
    <w:rsid w:val="68D11D4D"/>
    <w:rsid w:val="68D94CE2"/>
    <w:rsid w:val="69006308"/>
    <w:rsid w:val="69490C36"/>
    <w:rsid w:val="698D1466"/>
    <w:rsid w:val="69A2427D"/>
    <w:rsid w:val="69A70E67"/>
    <w:rsid w:val="69CDB2A5"/>
    <w:rsid w:val="69D47E37"/>
    <w:rsid w:val="69D515D6"/>
    <w:rsid w:val="69DF38B9"/>
    <w:rsid w:val="6A2133F4"/>
    <w:rsid w:val="6A2C7287"/>
    <w:rsid w:val="6A3144CF"/>
    <w:rsid w:val="6A674B7F"/>
    <w:rsid w:val="6A6D3914"/>
    <w:rsid w:val="6A771352"/>
    <w:rsid w:val="6A7C70A1"/>
    <w:rsid w:val="6A8B4D12"/>
    <w:rsid w:val="6AEE48F5"/>
    <w:rsid w:val="6AFF1AAC"/>
    <w:rsid w:val="6B191AA3"/>
    <w:rsid w:val="6B2103A0"/>
    <w:rsid w:val="6B7C760C"/>
    <w:rsid w:val="6B83768D"/>
    <w:rsid w:val="6B93328E"/>
    <w:rsid w:val="6BADD1E4"/>
    <w:rsid w:val="6BB31175"/>
    <w:rsid w:val="6BB5159B"/>
    <w:rsid w:val="6BFB156C"/>
    <w:rsid w:val="6BFE6579"/>
    <w:rsid w:val="6C4E41CE"/>
    <w:rsid w:val="6C5A11F7"/>
    <w:rsid w:val="6C643631"/>
    <w:rsid w:val="6C7B11C2"/>
    <w:rsid w:val="6CD9B83D"/>
    <w:rsid w:val="6D0B213A"/>
    <w:rsid w:val="6D214206"/>
    <w:rsid w:val="6D334BEA"/>
    <w:rsid w:val="6D3B3042"/>
    <w:rsid w:val="6D3F16BC"/>
    <w:rsid w:val="6D5E04BB"/>
    <w:rsid w:val="6D6A9437"/>
    <w:rsid w:val="6D76471A"/>
    <w:rsid w:val="6D7E3EF9"/>
    <w:rsid w:val="6D9C04AB"/>
    <w:rsid w:val="6DCC3677"/>
    <w:rsid w:val="6DCF909A"/>
    <w:rsid w:val="6DDB43FE"/>
    <w:rsid w:val="6DDDBAA5"/>
    <w:rsid w:val="6DDE1B2C"/>
    <w:rsid w:val="6DE17192"/>
    <w:rsid w:val="6DE22E9A"/>
    <w:rsid w:val="6DEDB630"/>
    <w:rsid w:val="6DFCAE54"/>
    <w:rsid w:val="6DFF346A"/>
    <w:rsid w:val="6E026ED3"/>
    <w:rsid w:val="6E1EDF92"/>
    <w:rsid w:val="6E3576F5"/>
    <w:rsid w:val="6E3631E6"/>
    <w:rsid w:val="6E581C56"/>
    <w:rsid w:val="6E746C22"/>
    <w:rsid w:val="6E881C94"/>
    <w:rsid w:val="6E9FDA68"/>
    <w:rsid w:val="6EBE3907"/>
    <w:rsid w:val="6EEFB76E"/>
    <w:rsid w:val="6F00213C"/>
    <w:rsid w:val="6F08269A"/>
    <w:rsid w:val="6F173CAC"/>
    <w:rsid w:val="6F1B20C1"/>
    <w:rsid w:val="6F37415E"/>
    <w:rsid w:val="6F3F063C"/>
    <w:rsid w:val="6F4F27D0"/>
    <w:rsid w:val="6F5B4E00"/>
    <w:rsid w:val="6F5BE59B"/>
    <w:rsid w:val="6F6A1399"/>
    <w:rsid w:val="6F778A83"/>
    <w:rsid w:val="6F9D450E"/>
    <w:rsid w:val="6FBCDC39"/>
    <w:rsid w:val="6FCB5D62"/>
    <w:rsid w:val="6FDF0486"/>
    <w:rsid w:val="6FDF86FE"/>
    <w:rsid w:val="6FEFF99D"/>
    <w:rsid w:val="6FF78EC8"/>
    <w:rsid w:val="70341FB0"/>
    <w:rsid w:val="70392075"/>
    <w:rsid w:val="70430240"/>
    <w:rsid w:val="7044034B"/>
    <w:rsid w:val="707936CB"/>
    <w:rsid w:val="707E7477"/>
    <w:rsid w:val="708714B9"/>
    <w:rsid w:val="709A1BE4"/>
    <w:rsid w:val="709D67F3"/>
    <w:rsid w:val="709E2229"/>
    <w:rsid w:val="70D95F92"/>
    <w:rsid w:val="70E817C4"/>
    <w:rsid w:val="712200D8"/>
    <w:rsid w:val="713276CB"/>
    <w:rsid w:val="714B3799"/>
    <w:rsid w:val="715A543E"/>
    <w:rsid w:val="71600CA6"/>
    <w:rsid w:val="71614A1E"/>
    <w:rsid w:val="717FF3CD"/>
    <w:rsid w:val="719B37DF"/>
    <w:rsid w:val="71A11D8C"/>
    <w:rsid w:val="71A21BD3"/>
    <w:rsid w:val="71C62346"/>
    <w:rsid w:val="720655BA"/>
    <w:rsid w:val="723143F0"/>
    <w:rsid w:val="7247E81D"/>
    <w:rsid w:val="72506DAD"/>
    <w:rsid w:val="72606583"/>
    <w:rsid w:val="72844A23"/>
    <w:rsid w:val="72BC1D25"/>
    <w:rsid w:val="72E51913"/>
    <w:rsid w:val="72E91021"/>
    <w:rsid w:val="73234B79"/>
    <w:rsid w:val="732F3CC8"/>
    <w:rsid w:val="733800DF"/>
    <w:rsid w:val="736BE35F"/>
    <w:rsid w:val="737712DE"/>
    <w:rsid w:val="73A92944"/>
    <w:rsid w:val="73A9685F"/>
    <w:rsid w:val="73C346FD"/>
    <w:rsid w:val="73CD68E4"/>
    <w:rsid w:val="73EA4857"/>
    <w:rsid w:val="73F26FE3"/>
    <w:rsid w:val="73FF1A30"/>
    <w:rsid w:val="740668F6"/>
    <w:rsid w:val="741F1061"/>
    <w:rsid w:val="74695DFD"/>
    <w:rsid w:val="74734A93"/>
    <w:rsid w:val="74752694"/>
    <w:rsid w:val="74960AE2"/>
    <w:rsid w:val="749807F1"/>
    <w:rsid w:val="74AE6BBB"/>
    <w:rsid w:val="74B06FF6"/>
    <w:rsid w:val="74B8592F"/>
    <w:rsid w:val="74C851EF"/>
    <w:rsid w:val="74D642A6"/>
    <w:rsid w:val="74FA44A9"/>
    <w:rsid w:val="752E371F"/>
    <w:rsid w:val="754349CE"/>
    <w:rsid w:val="755B2C19"/>
    <w:rsid w:val="75735DE8"/>
    <w:rsid w:val="757C1E26"/>
    <w:rsid w:val="75805666"/>
    <w:rsid w:val="75B4336E"/>
    <w:rsid w:val="75D23EAD"/>
    <w:rsid w:val="75ECE544"/>
    <w:rsid w:val="75ED9417"/>
    <w:rsid w:val="75EF7C7A"/>
    <w:rsid w:val="75F7777A"/>
    <w:rsid w:val="75FA7150"/>
    <w:rsid w:val="75FB3636"/>
    <w:rsid w:val="75FE7AF9"/>
    <w:rsid w:val="7625426C"/>
    <w:rsid w:val="763F0E08"/>
    <w:rsid w:val="767048D1"/>
    <w:rsid w:val="767A5F3B"/>
    <w:rsid w:val="76994914"/>
    <w:rsid w:val="76BF31E6"/>
    <w:rsid w:val="76E18308"/>
    <w:rsid w:val="76FF929F"/>
    <w:rsid w:val="77116CAB"/>
    <w:rsid w:val="7739066D"/>
    <w:rsid w:val="773B63C8"/>
    <w:rsid w:val="775FA5E1"/>
    <w:rsid w:val="776A2242"/>
    <w:rsid w:val="7775678A"/>
    <w:rsid w:val="777E185F"/>
    <w:rsid w:val="777F7979"/>
    <w:rsid w:val="77A46202"/>
    <w:rsid w:val="77B20B2F"/>
    <w:rsid w:val="77B7DB39"/>
    <w:rsid w:val="77BAFB22"/>
    <w:rsid w:val="77BED9A9"/>
    <w:rsid w:val="77BFB74B"/>
    <w:rsid w:val="77CE733D"/>
    <w:rsid w:val="77DE6E8F"/>
    <w:rsid w:val="77E555C3"/>
    <w:rsid w:val="77E613C8"/>
    <w:rsid w:val="77E7EB1A"/>
    <w:rsid w:val="77EFEEC8"/>
    <w:rsid w:val="77F20FAB"/>
    <w:rsid w:val="77F4639D"/>
    <w:rsid w:val="77F7C22D"/>
    <w:rsid w:val="77FF449A"/>
    <w:rsid w:val="77FF76F5"/>
    <w:rsid w:val="780B739F"/>
    <w:rsid w:val="781E2A76"/>
    <w:rsid w:val="7836450F"/>
    <w:rsid w:val="784C44F9"/>
    <w:rsid w:val="784F52AA"/>
    <w:rsid w:val="785D4713"/>
    <w:rsid w:val="786C7F30"/>
    <w:rsid w:val="78785637"/>
    <w:rsid w:val="78880AE2"/>
    <w:rsid w:val="78CD05D2"/>
    <w:rsid w:val="78E59216"/>
    <w:rsid w:val="78E95998"/>
    <w:rsid w:val="78FE1592"/>
    <w:rsid w:val="79744D5D"/>
    <w:rsid w:val="798B3824"/>
    <w:rsid w:val="79996D64"/>
    <w:rsid w:val="799C56B6"/>
    <w:rsid w:val="79B14BFA"/>
    <w:rsid w:val="79B735BF"/>
    <w:rsid w:val="79FA156C"/>
    <w:rsid w:val="7A0F798B"/>
    <w:rsid w:val="7A24483B"/>
    <w:rsid w:val="7A617E37"/>
    <w:rsid w:val="7A777614"/>
    <w:rsid w:val="7A7B26AD"/>
    <w:rsid w:val="7A9F7CA7"/>
    <w:rsid w:val="7AF06714"/>
    <w:rsid w:val="7B0D3200"/>
    <w:rsid w:val="7B12690B"/>
    <w:rsid w:val="7B242D44"/>
    <w:rsid w:val="7B276C47"/>
    <w:rsid w:val="7B2A40D3"/>
    <w:rsid w:val="7B2E5B8B"/>
    <w:rsid w:val="7B4772CF"/>
    <w:rsid w:val="7B5A0032"/>
    <w:rsid w:val="7B6A7773"/>
    <w:rsid w:val="7B7774CF"/>
    <w:rsid w:val="7B955B4C"/>
    <w:rsid w:val="7B9E1932"/>
    <w:rsid w:val="7BAB6468"/>
    <w:rsid w:val="7BB705E2"/>
    <w:rsid w:val="7BBB7EA7"/>
    <w:rsid w:val="7BDA9649"/>
    <w:rsid w:val="7BDB7A3B"/>
    <w:rsid w:val="7BF201B7"/>
    <w:rsid w:val="7BF78B5F"/>
    <w:rsid w:val="7BF86FAE"/>
    <w:rsid w:val="7BFCE755"/>
    <w:rsid w:val="7BFD1641"/>
    <w:rsid w:val="7BFFC219"/>
    <w:rsid w:val="7C6F3CF1"/>
    <w:rsid w:val="7C7130D7"/>
    <w:rsid w:val="7C7F10AF"/>
    <w:rsid w:val="7C7FB5C6"/>
    <w:rsid w:val="7CA443C9"/>
    <w:rsid w:val="7CA64E0D"/>
    <w:rsid w:val="7CA85FC7"/>
    <w:rsid w:val="7CD360CF"/>
    <w:rsid w:val="7CE72A89"/>
    <w:rsid w:val="7CEF622A"/>
    <w:rsid w:val="7CFF7220"/>
    <w:rsid w:val="7D0A5F6A"/>
    <w:rsid w:val="7D1C0E02"/>
    <w:rsid w:val="7D39DD87"/>
    <w:rsid w:val="7D3B3DAE"/>
    <w:rsid w:val="7D456B41"/>
    <w:rsid w:val="7D4F05ED"/>
    <w:rsid w:val="7D603DDC"/>
    <w:rsid w:val="7D7EF0B3"/>
    <w:rsid w:val="7D9046C1"/>
    <w:rsid w:val="7DA7DA5A"/>
    <w:rsid w:val="7DB3224A"/>
    <w:rsid w:val="7DD7216E"/>
    <w:rsid w:val="7DDC4550"/>
    <w:rsid w:val="7DDF95C5"/>
    <w:rsid w:val="7DEBD17D"/>
    <w:rsid w:val="7DEF887B"/>
    <w:rsid w:val="7DEFE1E3"/>
    <w:rsid w:val="7DF29C09"/>
    <w:rsid w:val="7DF82266"/>
    <w:rsid w:val="7DFF1CCE"/>
    <w:rsid w:val="7DFFE959"/>
    <w:rsid w:val="7E1A042F"/>
    <w:rsid w:val="7E3CA83D"/>
    <w:rsid w:val="7E53AB77"/>
    <w:rsid w:val="7E623E0E"/>
    <w:rsid w:val="7E631921"/>
    <w:rsid w:val="7E661963"/>
    <w:rsid w:val="7E7319D0"/>
    <w:rsid w:val="7EAE3823"/>
    <w:rsid w:val="7EB7AFE6"/>
    <w:rsid w:val="7EC8519F"/>
    <w:rsid w:val="7ECB8280"/>
    <w:rsid w:val="7ECC77B9"/>
    <w:rsid w:val="7ECD43A6"/>
    <w:rsid w:val="7ED643C3"/>
    <w:rsid w:val="7EDD642C"/>
    <w:rsid w:val="7EDFE773"/>
    <w:rsid w:val="7EEE1ADE"/>
    <w:rsid w:val="7EF5A30A"/>
    <w:rsid w:val="7EF7776D"/>
    <w:rsid w:val="7EF7835F"/>
    <w:rsid w:val="7F2E3E67"/>
    <w:rsid w:val="7F33895E"/>
    <w:rsid w:val="7F3C4E66"/>
    <w:rsid w:val="7F3EF80A"/>
    <w:rsid w:val="7F3FE42F"/>
    <w:rsid w:val="7F557D90"/>
    <w:rsid w:val="7F723C7A"/>
    <w:rsid w:val="7F7692D7"/>
    <w:rsid w:val="7F8B6342"/>
    <w:rsid w:val="7F8E30F8"/>
    <w:rsid w:val="7FAD205D"/>
    <w:rsid w:val="7FB27286"/>
    <w:rsid w:val="7FBD3767"/>
    <w:rsid w:val="7FBD85B5"/>
    <w:rsid w:val="7FC13315"/>
    <w:rsid w:val="7FCFF1DA"/>
    <w:rsid w:val="7FDDE6C0"/>
    <w:rsid w:val="7FE7C6DC"/>
    <w:rsid w:val="7FE941E3"/>
    <w:rsid w:val="7FF73846"/>
    <w:rsid w:val="7FF76ABA"/>
    <w:rsid w:val="7FF7B362"/>
    <w:rsid w:val="7FFB523D"/>
    <w:rsid w:val="7FFB66B8"/>
    <w:rsid w:val="7FFB7DEC"/>
    <w:rsid w:val="7FFF1055"/>
    <w:rsid w:val="7FFF37DC"/>
    <w:rsid w:val="7FFF52F7"/>
    <w:rsid w:val="7FFF934F"/>
    <w:rsid w:val="7FFFEB3A"/>
    <w:rsid w:val="7FFFEF4E"/>
    <w:rsid w:val="87F92151"/>
    <w:rsid w:val="8BDDFEEA"/>
    <w:rsid w:val="8BF53D6B"/>
    <w:rsid w:val="8DAF9E83"/>
    <w:rsid w:val="90AFE462"/>
    <w:rsid w:val="97FF340E"/>
    <w:rsid w:val="9CF78CDD"/>
    <w:rsid w:val="9DFCD151"/>
    <w:rsid w:val="9FB69EBE"/>
    <w:rsid w:val="9FE7C2A7"/>
    <w:rsid w:val="A6479BFA"/>
    <w:rsid w:val="A7AEB443"/>
    <w:rsid w:val="AB7DED8F"/>
    <w:rsid w:val="ABEE95AD"/>
    <w:rsid w:val="AD9C5C9A"/>
    <w:rsid w:val="ADBC5ECC"/>
    <w:rsid w:val="AEB95FB8"/>
    <w:rsid w:val="AEF7D182"/>
    <w:rsid w:val="AEFB867E"/>
    <w:rsid w:val="AF3BBFA8"/>
    <w:rsid w:val="AFB3F150"/>
    <w:rsid w:val="AFF06490"/>
    <w:rsid w:val="AFF14E7B"/>
    <w:rsid w:val="AFF93452"/>
    <w:rsid w:val="AFFBAA60"/>
    <w:rsid w:val="B3EFED1D"/>
    <w:rsid w:val="B3FFFC8C"/>
    <w:rsid w:val="B5FF4CC7"/>
    <w:rsid w:val="B6AF5678"/>
    <w:rsid w:val="B79DBEB2"/>
    <w:rsid w:val="B7BB1D02"/>
    <w:rsid w:val="B7FC185F"/>
    <w:rsid w:val="B8BF87FF"/>
    <w:rsid w:val="B9AEE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footnote text" w:uiPriority="99" w:qFormat="1"/>
    <w:lsdException w:name="annotation text" w:qFormat="1"/>
    <w:lsdException w:name="header" w:qFormat="1"/>
    <w:lsdException w:name="footer" w:qFormat="1"/>
    <w:lsdException w:name="caption" w:semiHidden="1" w:unhideWhenUsed="1" w:qFormat="1"/>
    <w:lsdException w:name="toa heading"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uiPriority w:val="99"/>
    <w:qFormat/>
    <w:pPr>
      <w:keepNext/>
      <w:keepLines/>
      <w:spacing w:before="340" w:after="330"/>
      <w:jc w:val="center"/>
      <w:outlineLvl w:val="0"/>
    </w:pPr>
    <w:rPr>
      <w:b/>
      <w:bCs/>
      <w:kern w:val="44"/>
      <w:sz w:val="32"/>
      <w:szCs w:val="32"/>
    </w:rPr>
  </w:style>
  <w:style w:type="paragraph" w:styleId="2">
    <w:name w:val="heading 2"/>
    <w:basedOn w:val="a"/>
    <w:next w:val="a"/>
    <w:qFormat/>
    <w:pPr>
      <w:spacing w:before="100" w:beforeAutospacing="1" w:after="100" w:afterAutospacing="1"/>
      <w:jc w:val="left"/>
      <w:outlineLvl w:val="1"/>
    </w:pPr>
    <w:rPr>
      <w:rFonts w:ascii="宋体" w:hAnsi="宋体" w:hint="eastAsia"/>
      <w:b/>
      <w:bCs/>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kern w:val="0"/>
    </w:rPr>
  </w:style>
  <w:style w:type="paragraph" w:styleId="a4">
    <w:name w:val="toa heading"/>
    <w:basedOn w:val="a"/>
    <w:next w:val="a"/>
    <w:qFormat/>
    <w:pPr>
      <w:spacing w:before="120"/>
    </w:pPr>
    <w:rPr>
      <w:rFonts w:ascii="Arial" w:hAnsi="Arial"/>
      <w:sz w:val="24"/>
    </w:rPr>
  </w:style>
  <w:style w:type="paragraph" w:styleId="a5">
    <w:name w:val="annotation text"/>
    <w:basedOn w:val="a"/>
    <w:qFormat/>
    <w:pPr>
      <w:jc w:val="left"/>
    </w:pPr>
  </w:style>
  <w:style w:type="paragraph" w:styleId="a6">
    <w:name w:val="Body Text"/>
    <w:basedOn w:val="a"/>
    <w:next w:val="a7"/>
    <w:qFormat/>
    <w:pPr>
      <w:spacing w:after="120"/>
    </w:pPr>
  </w:style>
  <w:style w:type="paragraph" w:styleId="a7">
    <w:name w:val="Body Text First Indent"/>
    <w:basedOn w:val="a6"/>
    <w:next w:val="a"/>
    <w:qFormat/>
    <w:pPr>
      <w:spacing w:line="360" w:lineRule="auto"/>
      <w:ind w:firstLineChars="100" w:firstLine="420"/>
      <w:jc w:val="left"/>
    </w:pPr>
    <w:rPr>
      <w:rFonts w:ascii="Times New Roman" w:eastAsia="仿宋" w:hAnsi="Times New Roman"/>
      <w:sz w:val="28"/>
      <w:szCs w:val="22"/>
    </w:rPr>
  </w:style>
  <w:style w:type="paragraph" w:styleId="a8">
    <w:name w:val="Body Text Indent"/>
    <w:basedOn w:val="a"/>
    <w:qFormat/>
    <w:pPr>
      <w:spacing w:line="360" w:lineRule="atLeast"/>
      <w:ind w:left="1680" w:firstLine="420"/>
    </w:pPr>
  </w:style>
  <w:style w:type="paragraph" w:styleId="30">
    <w:name w:val="toc 3"/>
    <w:basedOn w:val="a"/>
    <w:next w:val="a"/>
    <w:qFormat/>
    <w:pPr>
      <w:ind w:leftChars="400" w:left="840"/>
    </w:pPr>
  </w:style>
  <w:style w:type="paragraph" w:styleId="a9">
    <w:name w:val="Date"/>
    <w:basedOn w:val="a"/>
    <w:next w:val="a"/>
    <w:qFormat/>
    <w:pPr>
      <w:ind w:leftChars="2500" w:left="2500"/>
    </w:pPr>
    <w:rPr>
      <w:rFonts w:ascii="仿宋_GB2312" w:eastAsia="仿宋_GB2312"/>
      <w:sz w:val="32"/>
    </w:rPr>
  </w:style>
  <w:style w:type="paragraph" w:styleId="aa">
    <w:name w:val="Balloon Text"/>
    <w:basedOn w:val="a"/>
    <w:link w:val="Char"/>
    <w:qFormat/>
    <w:rPr>
      <w:sz w:val="18"/>
      <w:szCs w:val="18"/>
    </w:rPr>
  </w:style>
  <w:style w:type="paragraph" w:styleId="ab">
    <w:name w:val="footer"/>
    <w:basedOn w:val="a"/>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d">
    <w:name w:val="footnote text"/>
    <w:basedOn w:val="a"/>
    <w:uiPriority w:val="99"/>
    <w:qFormat/>
    <w:pPr>
      <w:snapToGrid w:val="0"/>
      <w:jc w:val="left"/>
    </w:pPr>
    <w:rPr>
      <w:sz w:val="18"/>
      <w:szCs w:val="18"/>
    </w:rPr>
  </w:style>
  <w:style w:type="paragraph" w:styleId="20">
    <w:name w:val="toc 2"/>
    <w:basedOn w:val="a"/>
    <w:next w:val="a"/>
    <w:qFormat/>
    <w:pPr>
      <w:ind w:leftChars="200" w:left="420"/>
    </w:pPr>
  </w:style>
  <w:style w:type="paragraph" w:styleId="ae">
    <w:name w:val="Normal (Web)"/>
    <w:basedOn w:val="a"/>
    <w:qFormat/>
    <w:pPr>
      <w:spacing w:before="100" w:beforeAutospacing="1" w:after="100" w:afterAutospacing="1"/>
      <w:jc w:val="left"/>
    </w:pPr>
    <w:rPr>
      <w:kern w:val="0"/>
      <w:sz w:val="24"/>
    </w:rPr>
  </w:style>
  <w:style w:type="paragraph" w:styleId="af">
    <w:name w:val="Title"/>
    <w:basedOn w:val="a"/>
    <w:qFormat/>
    <w:pPr>
      <w:spacing w:before="240" w:after="60"/>
      <w:jc w:val="center"/>
      <w:outlineLvl w:val="0"/>
    </w:pPr>
    <w:rPr>
      <w:rFonts w:ascii="Arial" w:hAnsi="Arial"/>
      <w:b/>
      <w:sz w:val="32"/>
    </w:rPr>
  </w:style>
  <w:style w:type="paragraph" w:styleId="21">
    <w:name w:val="Body Text First Indent 2"/>
    <w:basedOn w:val="a7"/>
    <w:next w:val="a9"/>
    <w:qFormat/>
    <w:rPr>
      <w:rFonts w:eastAsia="宋体"/>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b/>
      <w:bCs/>
    </w:rPr>
  </w:style>
  <w:style w:type="character" w:styleId="af2">
    <w:name w:val="FollowedHyperlink"/>
    <w:qFormat/>
    <w:rPr>
      <w:color w:val="555555"/>
      <w:u w:val="none"/>
    </w:rPr>
  </w:style>
  <w:style w:type="character" w:styleId="af3">
    <w:name w:val="Emphasis"/>
    <w:basedOn w:val="a1"/>
    <w:qFormat/>
  </w:style>
  <w:style w:type="character" w:styleId="HTML">
    <w:name w:val="HTML Definition"/>
    <w:qFormat/>
  </w:style>
  <w:style w:type="character" w:styleId="HTML0">
    <w:name w:val="HTML Acronym"/>
    <w:qFormat/>
  </w:style>
  <w:style w:type="character" w:styleId="HTML1">
    <w:name w:val="HTML Variable"/>
    <w:qFormat/>
  </w:style>
  <w:style w:type="character" w:styleId="af4">
    <w:name w:val="Hyperlink"/>
    <w:qFormat/>
    <w:rPr>
      <w:color w:val="555555"/>
      <w:u w:val="none"/>
    </w:rPr>
  </w:style>
  <w:style w:type="character" w:styleId="HTML2">
    <w:name w:val="HTML Code"/>
    <w:qFormat/>
    <w:rPr>
      <w:rFonts w:ascii="Courier New" w:hAnsi="Courier New"/>
      <w:sz w:val="20"/>
    </w:rPr>
  </w:style>
  <w:style w:type="character" w:styleId="HTML3">
    <w:name w:val="HTML Cite"/>
    <w:qFormat/>
  </w:style>
  <w:style w:type="character" w:customStyle="1" w:styleId="Char">
    <w:name w:val="批注框文本 Char"/>
    <w:link w:val="aa"/>
    <w:qFormat/>
    <w:rPr>
      <w:rFonts w:ascii="Calibri" w:hAnsi="Calibri"/>
      <w:kern w:val="2"/>
      <w:sz w:val="18"/>
      <w:szCs w:val="18"/>
    </w:rPr>
  </w:style>
  <w:style w:type="character" w:customStyle="1" w:styleId="NormalCharacter">
    <w:name w:val="NormalCharacter"/>
    <w:qFormat/>
    <w:rPr>
      <w:rFonts w:ascii="Times New Roman" w:eastAsia="宋体" w:hAnsi="Times New Roman" w:cs="Times New Roman"/>
      <w:kern w:val="2"/>
      <w:sz w:val="21"/>
      <w:szCs w:val="24"/>
      <w:lang w:val="en-US" w:eastAsia="zh-CN" w:bidi="ar-SA"/>
    </w:rPr>
  </w:style>
  <w:style w:type="character" w:customStyle="1" w:styleId="hover47">
    <w:name w:val="hover47"/>
    <w:qFormat/>
    <w:rPr>
      <w:color w:val="FFFFFF"/>
      <w:shd w:val="clear" w:color="auto" w:fill="CA1D1F"/>
    </w:rPr>
  </w:style>
  <w:style w:type="character" w:customStyle="1" w:styleId="layui-layer-tabnow">
    <w:name w:val="layui-layer-tabnow"/>
    <w:qFormat/>
    <w:rPr>
      <w:shd w:val="clear" w:color="auto" w:fill="FFFFFF"/>
    </w:rPr>
  </w:style>
  <w:style w:type="character" w:customStyle="1" w:styleId="on1">
    <w:name w:val="on1"/>
    <w:qFormat/>
    <w:rPr>
      <w:color w:val="0F92D6"/>
      <w:sz w:val="22"/>
      <w:szCs w:val="22"/>
    </w:rPr>
  </w:style>
  <w:style w:type="character" w:customStyle="1" w:styleId="first-child1">
    <w:name w:val="first-child1"/>
    <w:qFormat/>
  </w:style>
  <w:style w:type="character" w:customStyle="1" w:styleId="first-child">
    <w:name w:val="first-child"/>
    <w:qFormat/>
    <w:rPr>
      <w:color w:val="0F92D6"/>
      <w:sz w:val="16"/>
      <w:szCs w:val="16"/>
    </w:rPr>
  </w:style>
  <w:style w:type="character" w:customStyle="1" w:styleId="last-child">
    <w:name w:val="last-child"/>
    <w:qFormat/>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71">
    <w:name w:val="font71"/>
    <w:basedOn w:val="a1"/>
    <w:qFormat/>
    <w:rPr>
      <w:rFonts w:ascii="宋体" w:eastAsia="宋体" w:hAnsi="宋体" w:cs="宋体" w:hint="eastAsia"/>
      <w:b/>
      <w:bCs/>
      <w:color w:val="000000"/>
      <w:sz w:val="22"/>
      <w:szCs w:val="22"/>
      <w:u w:val="none"/>
    </w:rPr>
  </w:style>
  <w:style w:type="paragraph" w:customStyle="1" w:styleId="11">
    <w:name w:val="修订1"/>
    <w:uiPriority w:val="99"/>
    <w:unhideWhenUsed/>
    <w:qFormat/>
    <w:rPr>
      <w:rFonts w:ascii="Calibri" w:hAnsi="Calibri"/>
      <w:kern w:val="2"/>
      <w:sz w:val="21"/>
      <w:szCs w:val="24"/>
    </w:rPr>
  </w:style>
  <w:style w:type="paragraph" w:customStyle="1" w:styleId="li">
    <w:name w:val="li_正文"/>
    <w:basedOn w:val="a"/>
    <w:qFormat/>
    <w:pPr>
      <w:topLinePunct/>
      <w:adjustRightInd w:val="0"/>
      <w:snapToGrid w:val="0"/>
      <w:spacing w:line="360" w:lineRule="auto"/>
      <w:ind w:firstLineChars="250" w:firstLine="700"/>
    </w:pPr>
    <w:rPr>
      <w:rFonts w:ascii="宋体" w:hAnsi="宋体"/>
      <w:sz w:val="28"/>
      <w:szCs w:val="28"/>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5">
    <w:name w:val="表格文本"/>
    <w:basedOn w:val="a"/>
    <w:next w:val="a"/>
    <w:qFormat/>
    <w:pPr>
      <w:jc w:val="center"/>
    </w:pPr>
    <w:rPr>
      <w:sz w:val="24"/>
    </w:rPr>
  </w:style>
  <w:style w:type="table" w:customStyle="1" w:styleId="TableNormal">
    <w:name w:val="Table Normal"/>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footnote text" w:uiPriority="99" w:qFormat="1"/>
    <w:lsdException w:name="annotation text" w:qFormat="1"/>
    <w:lsdException w:name="header" w:qFormat="1"/>
    <w:lsdException w:name="footer" w:qFormat="1"/>
    <w:lsdException w:name="caption" w:semiHidden="1" w:unhideWhenUsed="1" w:qFormat="1"/>
    <w:lsdException w:name="toa heading"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uiPriority w:val="99"/>
    <w:qFormat/>
    <w:pPr>
      <w:keepNext/>
      <w:keepLines/>
      <w:spacing w:before="340" w:after="330"/>
      <w:jc w:val="center"/>
      <w:outlineLvl w:val="0"/>
    </w:pPr>
    <w:rPr>
      <w:b/>
      <w:bCs/>
      <w:kern w:val="44"/>
      <w:sz w:val="32"/>
      <w:szCs w:val="32"/>
    </w:rPr>
  </w:style>
  <w:style w:type="paragraph" w:styleId="2">
    <w:name w:val="heading 2"/>
    <w:basedOn w:val="a"/>
    <w:next w:val="a"/>
    <w:qFormat/>
    <w:pPr>
      <w:spacing w:before="100" w:beforeAutospacing="1" w:after="100" w:afterAutospacing="1"/>
      <w:jc w:val="left"/>
      <w:outlineLvl w:val="1"/>
    </w:pPr>
    <w:rPr>
      <w:rFonts w:ascii="宋体" w:hAnsi="宋体" w:hint="eastAsia"/>
      <w:b/>
      <w:bCs/>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kern w:val="0"/>
    </w:rPr>
  </w:style>
  <w:style w:type="paragraph" w:styleId="a4">
    <w:name w:val="toa heading"/>
    <w:basedOn w:val="a"/>
    <w:next w:val="a"/>
    <w:qFormat/>
    <w:pPr>
      <w:spacing w:before="120"/>
    </w:pPr>
    <w:rPr>
      <w:rFonts w:ascii="Arial" w:hAnsi="Arial"/>
      <w:sz w:val="24"/>
    </w:rPr>
  </w:style>
  <w:style w:type="paragraph" w:styleId="a5">
    <w:name w:val="annotation text"/>
    <w:basedOn w:val="a"/>
    <w:qFormat/>
    <w:pPr>
      <w:jc w:val="left"/>
    </w:pPr>
  </w:style>
  <w:style w:type="paragraph" w:styleId="a6">
    <w:name w:val="Body Text"/>
    <w:basedOn w:val="a"/>
    <w:next w:val="a7"/>
    <w:qFormat/>
    <w:pPr>
      <w:spacing w:after="120"/>
    </w:pPr>
  </w:style>
  <w:style w:type="paragraph" w:styleId="a7">
    <w:name w:val="Body Text First Indent"/>
    <w:basedOn w:val="a6"/>
    <w:next w:val="a"/>
    <w:qFormat/>
    <w:pPr>
      <w:spacing w:line="360" w:lineRule="auto"/>
      <w:ind w:firstLineChars="100" w:firstLine="420"/>
      <w:jc w:val="left"/>
    </w:pPr>
    <w:rPr>
      <w:rFonts w:ascii="Times New Roman" w:eastAsia="仿宋" w:hAnsi="Times New Roman"/>
      <w:sz w:val="28"/>
      <w:szCs w:val="22"/>
    </w:rPr>
  </w:style>
  <w:style w:type="paragraph" w:styleId="a8">
    <w:name w:val="Body Text Indent"/>
    <w:basedOn w:val="a"/>
    <w:qFormat/>
    <w:pPr>
      <w:spacing w:line="360" w:lineRule="atLeast"/>
      <w:ind w:left="1680" w:firstLine="420"/>
    </w:pPr>
  </w:style>
  <w:style w:type="paragraph" w:styleId="30">
    <w:name w:val="toc 3"/>
    <w:basedOn w:val="a"/>
    <w:next w:val="a"/>
    <w:qFormat/>
    <w:pPr>
      <w:ind w:leftChars="400" w:left="840"/>
    </w:pPr>
  </w:style>
  <w:style w:type="paragraph" w:styleId="a9">
    <w:name w:val="Date"/>
    <w:basedOn w:val="a"/>
    <w:next w:val="a"/>
    <w:qFormat/>
    <w:pPr>
      <w:ind w:leftChars="2500" w:left="2500"/>
    </w:pPr>
    <w:rPr>
      <w:rFonts w:ascii="仿宋_GB2312" w:eastAsia="仿宋_GB2312"/>
      <w:sz w:val="32"/>
    </w:rPr>
  </w:style>
  <w:style w:type="paragraph" w:styleId="aa">
    <w:name w:val="Balloon Text"/>
    <w:basedOn w:val="a"/>
    <w:link w:val="Char"/>
    <w:qFormat/>
    <w:rPr>
      <w:sz w:val="18"/>
      <w:szCs w:val="18"/>
    </w:rPr>
  </w:style>
  <w:style w:type="paragraph" w:styleId="ab">
    <w:name w:val="footer"/>
    <w:basedOn w:val="a"/>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d">
    <w:name w:val="footnote text"/>
    <w:basedOn w:val="a"/>
    <w:uiPriority w:val="99"/>
    <w:qFormat/>
    <w:pPr>
      <w:snapToGrid w:val="0"/>
      <w:jc w:val="left"/>
    </w:pPr>
    <w:rPr>
      <w:sz w:val="18"/>
      <w:szCs w:val="18"/>
    </w:rPr>
  </w:style>
  <w:style w:type="paragraph" w:styleId="20">
    <w:name w:val="toc 2"/>
    <w:basedOn w:val="a"/>
    <w:next w:val="a"/>
    <w:qFormat/>
    <w:pPr>
      <w:ind w:leftChars="200" w:left="420"/>
    </w:pPr>
  </w:style>
  <w:style w:type="paragraph" w:styleId="ae">
    <w:name w:val="Normal (Web)"/>
    <w:basedOn w:val="a"/>
    <w:qFormat/>
    <w:pPr>
      <w:spacing w:before="100" w:beforeAutospacing="1" w:after="100" w:afterAutospacing="1"/>
      <w:jc w:val="left"/>
    </w:pPr>
    <w:rPr>
      <w:kern w:val="0"/>
      <w:sz w:val="24"/>
    </w:rPr>
  </w:style>
  <w:style w:type="paragraph" w:styleId="af">
    <w:name w:val="Title"/>
    <w:basedOn w:val="a"/>
    <w:qFormat/>
    <w:pPr>
      <w:spacing w:before="240" w:after="60"/>
      <w:jc w:val="center"/>
      <w:outlineLvl w:val="0"/>
    </w:pPr>
    <w:rPr>
      <w:rFonts w:ascii="Arial" w:hAnsi="Arial"/>
      <w:b/>
      <w:sz w:val="32"/>
    </w:rPr>
  </w:style>
  <w:style w:type="paragraph" w:styleId="21">
    <w:name w:val="Body Text First Indent 2"/>
    <w:basedOn w:val="a7"/>
    <w:next w:val="a9"/>
    <w:qFormat/>
    <w:rPr>
      <w:rFonts w:eastAsia="宋体"/>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b/>
      <w:bCs/>
    </w:rPr>
  </w:style>
  <w:style w:type="character" w:styleId="af2">
    <w:name w:val="FollowedHyperlink"/>
    <w:qFormat/>
    <w:rPr>
      <w:color w:val="555555"/>
      <w:u w:val="none"/>
    </w:rPr>
  </w:style>
  <w:style w:type="character" w:styleId="af3">
    <w:name w:val="Emphasis"/>
    <w:basedOn w:val="a1"/>
    <w:qFormat/>
  </w:style>
  <w:style w:type="character" w:styleId="HTML">
    <w:name w:val="HTML Definition"/>
    <w:qFormat/>
  </w:style>
  <w:style w:type="character" w:styleId="HTML0">
    <w:name w:val="HTML Acronym"/>
    <w:qFormat/>
  </w:style>
  <w:style w:type="character" w:styleId="HTML1">
    <w:name w:val="HTML Variable"/>
    <w:qFormat/>
  </w:style>
  <w:style w:type="character" w:styleId="af4">
    <w:name w:val="Hyperlink"/>
    <w:qFormat/>
    <w:rPr>
      <w:color w:val="555555"/>
      <w:u w:val="none"/>
    </w:rPr>
  </w:style>
  <w:style w:type="character" w:styleId="HTML2">
    <w:name w:val="HTML Code"/>
    <w:qFormat/>
    <w:rPr>
      <w:rFonts w:ascii="Courier New" w:hAnsi="Courier New"/>
      <w:sz w:val="20"/>
    </w:rPr>
  </w:style>
  <w:style w:type="character" w:styleId="HTML3">
    <w:name w:val="HTML Cite"/>
    <w:qFormat/>
  </w:style>
  <w:style w:type="character" w:customStyle="1" w:styleId="Char">
    <w:name w:val="批注框文本 Char"/>
    <w:link w:val="aa"/>
    <w:qFormat/>
    <w:rPr>
      <w:rFonts w:ascii="Calibri" w:hAnsi="Calibri"/>
      <w:kern w:val="2"/>
      <w:sz w:val="18"/>
      <w:szCs w:val="18"/>
    </w:rPr>
  </w:style>
  <w:style w:type="character" w:customStyle="1" w:styleId="NormalCharacter">
    <w:name w:val="NormalCharacter"/>
    <w:qFormat/>
    <w:rPr>
      <w:rFonts w:ascii="Times New Roman" w:eastAsia="宋体" w:hAnsi="Times New Roman" w:cs="Times New Roman"/>
      <w:kern w:val="2"/>
      <w:sz w:val="21"/>
      <w:szCs w:val="24"/>
      <w:lang w:val="en-US" w:eastAsia="zh-CN" w:bidi="ar-SA"/>
    </w:rPr>
  </w:style>
  <w:style w:type="character" w:customStyle="1" w:styleId="hover47">
    <w:name w:val="hover47"/>
    <w:qFormat/>
    <w:rPr>
      <w:color w:val="FFFFFF"/>
      <w:shd w:val="clear" w:color="auto" w:fill="CA1D1F"/>
    </w:rPr>
  </w:style>
  <w:style w:type="character" w:customStyle="1" w:styleId="layui-layer-tabnow">
    <w:name w:val="layui-layer-tabnow"/>
    <w:qFormat/>
    <w:rPr>
      <w:shd w:val="clear" w:color="auto" w:fill="FFFFFF"/>
    </w:rPr>
  </w:style>
  <w:style w:type="character" w:customStyle="1" w:styleId="on1">
    <w:name w:val="on1"/>
    <w:qFormat/>
    <w:rPr>
      <w:color w:val="0F92D6"/>
      <w:sz w:val="22"/>
      <w:szCs w:val="22"/>
    </w:rPr>
  </w:style>
  <w:style w:type="character" w:customStyle="1" w:styleId="first-child1">
    <w:name w:val="first-child1"/>
    <w:qFormat/>
  </w:style>
  <w:style w:type="character" w:customStyle="1" w:styleId="first-child">
    <w:name w:val="first-child"/>
    <w:qFormat/>
    <w:rPr>
      <w:color w:val="0F92D6"/>
      <w:sz w:val="16"/>
      <w:szCs w:val="16"/>
    </w:rPr>
  </w:style>
  <w:style w:type="character" w:customStyle="1" w:styleId="last-child">
    <w:name w:val="last-child"/>
    <w:qFormat/>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71">
    <w:name w:val="font71"/>
    <w:basedOn w:val="a1"/>
    <w:qFormat/>
    <w:rPr>
      <w:rFonts w:ascii="宋体" w:eastAsia="宋体" w:hAnsi="宋体" w:cs="宋体" w:hint="eastAsia"/>
      <w:b/>
      <w:bCs/>
      <w:color w:val="000000"/>
      <w:sz w:val="22"/>
      <w:szCs w:val="22"/>
      <w:u w:val="none"/>
    </w:rPr>
  </w:style>
  <w:style w:type="paragraph" w:customStyle="1" w:styleId="11">
    <w:name w:val="修订1"/>
    <w:uiPriority w:val="99"/>
    <w:unhideWhenUsed/>
    <w:qFormat/>
    <w:rPr>
      <w:rFonts w:ascii="Calibri" w:hAnsi="Calibri"/>
      <w:kern w:val="2"/>
      <w:sz w:val="21"/>
      <w:szCs w:val="24"/>
    </w:rPr>
  </w:style>
  <w:style w:type="paragraph" w:customStyle="1" w:styleId="li">
    <w:name w:val="li_正文"/>
    <w:basedOn w:val="a"/>
    <w:qFormat/>
    <w:pPr>
      <w:topLinePunct/>
      <w:adjustRightInd w:val="0"/>
      <w:snapToGrid w:val="0"/>
      <w:spacing w:line="360" w:lineRule="auto"/>
      <w:ind w:firstLineChars="250" w:firstLine="700"/>
    </w:pPr>
    <w:rPr>
      <w:rFonts w:ascii="宋体" w:hAnsi="宋体"/>
      <w:sz w:val="28"/>
      <w:szCs w:val="28"/>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5">
    <w:name w:val="表格文本"/>
    <w:basedOn w:val="a"/>
    <w:next w:val="a"/>
    <w:qFormat/>
    <w:pPr>
      <w:jc w:val="center"/>
    </w:pPr>
    <w:rPr>
      <w:sz w:val="24"/>
    </w:r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7.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0.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6.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9.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8.xml"/><Relationship Id="rId45" Type="http://schemas.openxmlformats.org/officeDocument/2006/relationships/footer" Target="footer13.xml"/><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28.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12.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1.xml"/><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123</Pages>
  <Words>7057</Words>
  <Characters>40228</Characters>
  <Application>Microsoft Office Word</Application>
  <DocSecurity>0</DocSecurity>
  <Lines>335</Lines>
  <Paragraphs>94</Paragraphs>
  <ScaleCrop>false</ScaleCrop>
  <Company/>
  <LinksUpToDate>false</LinksUpToDate>
  <CharactersWithSpaces>47191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刘庆彬</cp:lastModifiedBy>
  <cp:revision>5</cp:revision>
  <cp:lastPrinted>2024-07-12T18:43:00Z</cp:lastPrinted>
  <dcterms:created xsi:type="dcterms:W3CDTF">2024-07-11T23:26:00Z</dcterms:created>
  <dcterms:modified xsi:type="dcterms:W3CDTF">2025-05-20T01:55:00Z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6B22FB7C391543FAB2F36507E8110721_13</vt:lpwstr>
  </property>
</Properties>
</file>